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FA66251">
      <w:pPr>
        <w:spacing w:line="600" w:lineRule="exact"/>
        <w:jc w:val="center"/>
        <w:rPr>
          <w:rFonts w:ascii="方正小标宋简体" w:hAnsi="仿宋" w:eastAsia="方正小标宋简体" w:cs="Times New Roman"/>
          <w:sz w:val="44"/>
          <w:szCs w:val="44"/>
        </w:rPr>
      </w:pPr>
      <w:bookmarkStart w:id="12" w:name="_GoBack"/>
      <w:bookmarkEnd w:id="12"/>
      <w:r>
        <w:rPr>
          <w:rFonts w:hint="eastAsia" w:ascii="方正小标宋简体" w:hAnsi="仿宋" w:eastAsia="方正小标宋简体" w:cs="Times New Roman"/>
          <w:sz w:val="44"/>
          <w:szCs w:val="44"/>
        </w:rPr>
        <w:t>《双着丝粒染色体半自动分析估算辐射生物剂量技术规范》标准编制说明</w:t>
      </w:r>
    </w:p>
    <w:p w14:paraId="3E48F6B2">
      <w:pPr>
        <w:widowControl/>
        <w:shd w:val="clear" w:color="auto" w:fill="FFFFFF"/>
        <w:jc w:val="center"/>
        <w:rPr>
          <w:rFonts w:ascii="仿宋_GB2312" w:hAnsi="仿宋_GB2312" w:eastAsia="仿宋_GB2312" w:cs="仿宋_GB2312"/>
          <w:b/>
          <w:bCs/>
          <w:kern w:val="0"/>
          <w:sz w:val="44"/>
          <w:szCs w:val="44"/>
          <w:shd w:val="clear" w:color="auto" w:fill="FFFFFF"/>
          <w:lang w:bidi="ar"/>
        </w:rPr>
      </w:pPr>
    </w:p>
    <w:p w14:paraId="47E9D1A6">
      <w:pPr>
        <w:widowControl/>
        <w:numPr>
          <w:ilvl w:val="0"/>
          <w:numId w:val="1"/>
        </w:numPr>
        <w:shd w:val="clear" w:color="auto" w:fill="FFFFFF"/>
        <w:ind w:firstLine="643" w:firstLineChars="200"/>
        <w:rPr>
          <w:rFonts w:ascii="仿宋_GB2312" w:hAnsi="仿宋_GB2312" w:eastAsia="仿宋_GB2312" w:cs="仿宋_GB2312"/>
          <w:b/>
          <w:bCs/>
          <w:kern w:val="0"/>
          <w:sz w:val="32"/>
          <w:szCs w:val="32"/>
          <w:shd w:val="clear" w:color="auto" w:fill="FFFFFF"/>
          <w:lang w:bidi="ar"/>
        </w:rPr>
      </w:pPr>
      <w:r>
        <w:rPr>
          <w:rFonts w:hint="eastAsia" w:ascii="仿宋_GB2312" w:hAnsi="仿宋_GB2312" w:eastAsia="仿宋_GB2312" w:cs="仿宋_GB2312"/>
          <w:b/>
          <w:bCs/>
          <w:kern w:val="0"/>
          <w:sz w:val="32"/>
          <w:szCs w:val="32"/>
          <w:shd w:val="clear" w:color="auto" w:fill="FFFFFF"/>
          <w:lang w:bidi="ar"/>
        </w:rPr>
        <w:t>工作简况，包括任务来源、主要工作过程、主要起草人及其所做的工作等</w:t>
      </w:r>
    </w:p>
    <w:p w14:paraId="652AD25B">
      <w:pPr>
        <w:pStyle w:val="6"/>
        <w:ind w:firstLine="602" w:firstLineChars="200"/>
        <w:jc w:val="both"/>
        <w:rPr>
          <w:b/>
          <w:color w:val="auto"/>
          <w:sz w:val="30"/>
          <w:szCs w:val="30"/>
        </w:rPr>
      </w:pPr>
      <w:r>
        <w:rPr>
          <w:b/>
          <w:color w:val="auto"/>
          <w:sz w:val="30"/>
          <w:szCs w:val="30"/>
        </w:rPr>
        <w:t>（一）任务来源、</w:t>
      </w:r>
      <w:r>
        <w:rPr>
          <w:rFonts w:hint="eastAsia"/>
          <w:b/>
          <w:color w:val="auto"/>
          <w:sz w:val="30"/>
          <w:szCs w:val="30"/>
        </w:rPr>
        <w:t>主要工作过程</w:t>
      </w:r>
    </w:p>
    <w:p w14:paraId="64FB0726">
      <w:pPr>
        <w:pStyle w:val="6"/>
        <w:ind w:firstLine="560" w:firstLineChars="200"/>
        <w:jc w:val="both"/>
        <w:rPr>
          <w:color w:val="auto"/>
          <w:sz w:val="28"/>
          <w:szCs w:val="28"/>
        </w:rPr>
      </w:pPr>
      <w:r>
        <w:rPr>
          <w:color w:val="auto"/>
          <w:sz w:val="28"/>
          <w:szCs w:val="28"/>
        </w:rPr>
        <w:t>本标准为202</w:t>
      </w:r>
      <w:r>
        <w:rPr>
          <w:rFonts w:hint="eastAsia"/>
          <w:color w:val="auto"/>
          <w:sz w:val="28"/>
          <w:szCs w:val="28"/>
        </w:rPr>
        <w:t>4</w:t>
      </w:r>
      <w:r>
        <w:rPr>
          <w:color w:val="auto"/>
          <w:sz w:val="28"/>
          <w:szCs w:val="28"/>
        </w:rPr>
        <w:t>年</w:t>
      </w:r>
      <w:r>
        <w:rPr>
          <w:rFonts w:hint="eastAsia"/>
          <w:color w:val="auto"/>
          <w:sz w:val="28"/>
          <w:szCs w:val="28"/>
        </w:rPr>
        <w:t>度中国辐射防护学会团体标准制修订立项申请项目。</w:t>
      </w:r>
    </w:p>
    <w:p w14:paraId="004C2883">
      <w:pPr>
        <w:widowControl w:val="0"/>
        <w:shd w:val="clear" w:color="auto" w:fill="auto"/>
        <w:spacing w:after="156" w:afterLines="50" w:line="780" w:lineRule="exact"/>
        <w:ind w:firstLine="560" w:firstLineChars="200"/>
        <w:jc w:val="left"/>
        <w:rPr>
          <w:rFonts w:hint="default" w:ascii="Times New Roman" w:hAnsi="Times New Roman" w:eastAsia="宋体" w:cs="仿宋_GB2312"/>
          <w:kern w:val="0"/>
          <w:sz w:val="28"/>
          <w:szCs w:val="28"/>
          <w:shd w:val="clear" w:color="auto" w:fill="FFFFFF"/>
          <w:lang w:val="en-US" w:bidi="ar"/>
        </w:rPr>
      </w:pPr>
      <w:r>
        <w:rPr>
          <w:rFonts w:hint="eastAsia"/>
          <w:sz w:val="28"/>
          <w:szCs w:val="28"/>
        </w:rPr>
        <w:t>目前国内生物剂量的估算主要采用国家标准《GB/T 28236—2011 染色体畸变估算生物剂量方法》推荐的方法估算剂量，该方法需要人工在显微镜下分析计数“双+环”，费时费力。而利用近年发展起来业已成熟的数字图像自动分析技术平台自动检测双着丝粒染色体（dic），可将剂量估算效率提高数倍。但国内尚未发布细胞遗传指标自动分析估算剂量的相关标准。为了提高国内生物剂量估算的效率和水平，由河南省第三人民医院（河南省职业病医院）牵头，联合国内生物剂量估算领域的权威专家，</w:t>
      </w:r>
      <w:r>
        <w:rPr>
          <w:rFonts w:hint="eastAsia" w:ascii="Times New Roman" w:hAnsi="Times New Roman" w:eastAsia="宋体"/>
          <w:sz w:val="28"/>
          <w:szCs w:val="28"/>
        </w:rPr>
        <w:t>于2023年3月开始</w:t>
      </w:r>
      <w:r>
        <w:rPr>
          <w:rFonts w:ascii="Times New Roman" w:hAnsi="Times New Roman" w:eastAsia="宋体"/>
          <w:sz w:val="28"/>
          <w:szCs w:val="28"/>
        </w:rPr>
        <w:t>起草人收集整理并全面</w:t>
      </w:r>
      <w:r>
        <w:rPr>
          <w:rFonts w:hint="eastAsia" w:ascii="Times New Roman" w:hAnsi="Times New Roman" w:eastAsia="宋体"/>
          <w:sz w:val="28"/>
          <w:szCs w:val="28"/>
        </w:rPr>
        <w:t>研读</w:t>
      </w:r>
      <w:r>
        <w:rPr>
          <w:rFonts w:ascii="Times New Roman" w:hAnsi="Times New Roman" w:eastAsia="宋体"/>
          <w:sz w:val="28"/>
          <w:szCs w:val="28"/>
        </w:rPr>
        <w:t>了与本</w:t>
      </w:r>
      <w:r>
        <w:rPr>
          <w:rFonts w:hint="eastAsia" w:ascii="Times New Roman" w:hAnsi="Times New Roman" w:eastAsia="宋体"/>
          <w:sz w:val="28"/>
          <w:szCs w:val="28"/>
        </w:rPr>
        <w:t>申请</w:t>
      </w:r>
      <w:r>
        <w:rPr>
          <w:rFonts w:ascii="Times New Roman" w:hAnsi="Times New Roman" w:eastAsia="宋体"/>
          <w:sz w:val="28"/>
          <w:szCs w:val="28"/>
        </w:rPr>
        <w:t>标准有关的国内外文献资料，</w:t>
      </w:r>
      <w:r>
        <w:rPr>
          <w:rFonts w:hint="eastAsia" w:ascii="Times New Roman" w:hAnsi="Times New Roman" w:eastAsia="宋体"/>
          <w:sz w:val="28"/>
          <w:szCs w:val="28"/>
        </w:rPr>
        <w:t>编写组反复研讨标准草案框架和具体技术内容，于</w:t>
      </w:r>
      <w:r>
        <w:rPr>
          <w:rFonts w:ascii="Times New Roman" w:hAnsi="Times New Roman" w:eastAsia="宋体"/>
          <w:sz w:val="28"/>
          <w:szCs w:val="28"/>
        </w:rPr>
        <w:t>202</w:t>
      </w:r>
      <w:r>
        <w:rPr>
          <w:rFonts w:hint="eastAsia" w:ascii="Times New Roman" w:hAnsi="Times New Roman" w:eastAsia="宋体"/>
          <w:sz w:val="28"/>
          <w:szCs w:val="28"/>
        </w:rPr>
        <w:t>4</w:t>
      </w:r>
      <w:r>
        <w:rPr>
          <w:rFonts w:ascii="Times New Roman" w:hAnsi="Times New Roman" w:eastAsia="宋体"/>
          <w:sz w:val="28"/>
          <w:szCs w:val="28"/>
        </w:rPr>
        <w:t>年</w:t>
      </w:r>
      <w:r>
        <w:rPr>
          <w:rFonts w:hint="eastAsia" w:ascii="Times New Roman" w:hAnsi="Times New Roman" w:eastAsia="宋体"/>
          <w:sz w:val="28"/>
          <w:szCs w:val="28"/>
        </w:rPr>
        <w:t>3</w:t>
      </w:r>
      <w:r>
        <w:rPr>
          <w:rFonts w:ascii="Times New Roman" w:hAnsi="Times New Roman" w:eastAsia="宋体"/>
          <w:sz w:val="28"/>
          <w:szCs w:val="28"/>
        </w:rPr>
        <w:t>月</w:t>
      </w:r>
      <w:r>
        <w:rPr>
          <w:rFonts w:hint="eastAsia" w:ascii="Times New Roman" w:hAnsi="Times New Roman" w:eastAsia="宋体"/>
          <w:sz w:val="28"/>
          <w:szCs w:val="28"/>
        </w:rPr>
        <w:t>形成了本申请标准的草案</w:t>
      </w:r>
      <w:r>
        <w:rPr>
          <w:rFonts w:ascii="Times New Roman" w:hAnsi="Times New Roman" w:eastAsia="宋体"/>
          <w:sz w:val="28"/>
          <w:szCs w:val="28"/>
        </w:rPr>
        <w:t>。</w:t>
      </w:r>
      <w:r>
        <w:rPr>
          <w:rFonts w:hint="eastAsia" w:ascii="Times New Roman" w:hAnsi="Times New Roman" w:eastAsia="宋体"/>
          <w:sz w:val="28"/>
          <w:szCs w:val="28"/>
          <w:lang w:val="en-US" w:eastAsia="zh-CN"/>
        </w:rPr>
        <w:t>2024年8月10日于北京通过答辩，2024年9月2日获批2024年度</w:t>
      </w:r>
      <w:r>
        <w:rPr>
          <w:rFonts w:hint="eastAsia" w:ascii="Times New Roman" w:hAnsi="Times New Roman" w:eastAsia="宋体"/>
          <w:color w:val="000000"/>
          <w:sz w:val="28"/>
          <w:szCs w:val="28"/>
        </w:rPr>
        <w:t>中国辐射防护学会团体标准制修订项目</w:t>
      </w:r>
      <w:r>
        <w:rPr>
          <w:rFonts w:hint="eastAsia" w:ascii="Times New Roman" w:hAnsi="Times New Roman" w:eastAsia="宋体"/>
          <w:sz w:val="28"/>
          <w:szCs w:val="28"/>
          <w:lang w:val="en-US" w:eastAsia="zh-CN"/>
        </w:rPr>
        <w:t>立项（TB202402），2024年11月26日在福建省职业病与化学中毒预防控制中心讨论形成征求意见稿及其编制说明。</w:t>
      </w:r>
    </w:p>
    <w:p w14:paraId="24A52246">
      <w:pPr>
        <w:pStyle w:val="7"/>
        <w:ind w:firstLine="602"/>
        <w:rPr>
          <w:sz w:val="30"/>
          <w:szCs w:val="30"/>
        </w:rPr>
      </w:pPr>
      <w:r>
        <w:rPr>
          <w:b/>
          <w:sz w:val="30"/>
          <w:szCs w:val="30"/>
        </w:rPr>
        <w:t>（</w:t>
      </w:r>
      <w:r>
        <w:rPr>
          <w:rFonts w:hint="eastAsia"/>
          <w:b/>
          <w:sz w:val="30"/>
          <w:szCs w:val="30"/>
        </w:rPr>
        <w:t>二</w:t>
      </w:r>
      <w:r>
        <w:rPr>
          <w:b/>
          <w:sz w:val="30"/>
          <w:szCs w:val="30"/>
        </w:rPr>
        <w:t>）</w:t>
      </w:r>
      <w:r>
        <w:rPr>
          <w:rFonts w:hint="eastAsia"/>
          <w:b/>
          <w:sz w:val="30"/>
          <w:szCs w:val="30"/>
        </w:rPr>
        <w:t>主要起草单位、起草人及其所做的工作</w:t>
      </w:r>
    </w:p>
    <w:p w14:paraId="19C7F6E3">
      <w:pPr>
        <w:widowControl/>
        <w:shd w:val="clear" w:color="auto" w:fill="FFFFFF"/>
        <w:ind w:firstLine="560" w:firstLineChars="200"/>
        <w:rPr>
          <w:rFonts w:ascii="Times New Roman" w:hAnsi="Times New Roman" w:eastAsia="宋体"/>
          <w:sz w:val="28"/>
          <w:szCs w:val="28"/>
        </w:rPr>
      </w:pPr>
      <w:r>
        <w:rPr>
          <w:rFonts w:hint="eastAsia" w:ascii="Times New Roman" w:hAnsi="Times New Roman" w:eastAsia="宋体"/>
          <w:sz w:val="28"/>
          <w:szCs w:val="28"/>
        </w:rPr>
        <w:t>本标准草案起草单位：</w:t>
      </w:r>
      <w:r>
        <w:rPr>
          <w:rFonts w:hint="eastAsia"/>
          <w:sz w:val="28"/>
          <w:szCs w:val="28"/>
        </w:rPr>
        <w:t>河南省第三人民医院（河南省职业病医院）、苏州大学附属第二医院、中国疾病预防控制中心辐射防护与核安全医学所、中国医学科学院放射医学研究所、中国辐射防护研究院、火箭军特色医学中心、山东省医学科学院放射医学研究所、江苏省疾病预防控制中心、核工业四一六医院、广东省职业病防治院、广西壮族自治区职业病防治研究院</w:t>
      </w:r>
      <w:r>
        <w:rPr>
          <w:rFonts w:hint="eastAsia"/>
          <w:sz w:val="28"/>
          <w:szCs w:val="28"/>
          <w:lang w:eastAsia="zh-CN"/>
        </w:rPr>
        <w:t>、</w:t>
      </w:r>
      <w:r>
        <w:rPr>
          <w:rFonts w:hint="eastAsia"/>
          <w:sz w:val="28"/>
          <w:szCs w:val="28"/>
        </w:rPr>
        <w:t>北京市化工职业病防治院、吉林省职业病防治院、新乡市职业病防治研究所、福建省职业病与化学中毒预防控制中心</w:t>
      </w:r>
      <w:r>
        <w:rPr>
          <w:rFonts w:hint="eastAsia"/>
          <w:color w:val="000000"/>
          <w:szCs w:val="21"/>
        </w:rPr>
        <w:t>、</w:t>
      </w:r>
      <w:r>
        <w:rPr>
          <w:rFonts w:hint="eastAsia"/>
          <w:sz w:val="28"/>
          <w:szCs w:val="28"/>
        </w:rPr>
        <w:t>莅时智能科技（上海）有限公司</w:t>
      </w:r>
      <w:r>
        <w:rPr>
          <w:rFonts w:hint="eastAsia" w:ascii="Times New Roman"/>
          <w:sz w:val="28"/>
          <w:szCs w:val="28"/>
        </w:rPr>
        <w:t>。</w:t>
      </w:r>
    </w:p>
    <w:p w14:paraId="3C07F2C6">
      <w:pPr>
        <w:widowControl/>
        <w:shd w:val="clear" w:color="auto" w:fill="FFFFFF"/>
        <w:ind w:firstLine="560" w:firstLineChars="200"/>
        <w:rPr>
          <w:rFonts w:ascii="Times New Roman" w:hAnsi="Times New Roman" w:eastAsia="宋体"/>
          <w:sz w:val="28"/>
          <w:szCs w:val="28"/>
        </w:rPr>
      </w:pPr>
      <w:r>
        <w:rPr>
          <w:rFonts w:ascii="Times New Roman" w:hAnsi="Times New Roman" w:eastAsia="宋体"/>
          <w:sz w:val="28"/>
          <w:szCs w:val="28"/>
        </w:rPr>
        <w:t>本标准</w:t>
      </w:r>
      <w:r>
        <w:rPr>
          <w:rFonts w:hint="eastAsia" w:ascii="Times New Roman" w:hAnsi="Times New Roman" w:eastAsia="宋体"/>
          <w:sz w:val="28"/>
          <w:szCs w:val="28"/>
        </w:rPr>
        <w:t>草案</w:t>
      </w:r>
      <w:r>
        <w:rPr>
          <w:rFonts w:ascii="Times New Roman" w:hAnsi="Times New Roman" w:eastAsia="宋体"/>
          <w:sz w:val="28"/>
          <w:szCs w:val="28"/>
        </w:rPr>
        <w:t>主要起草人</w:t>
      </w:r>
      <w:r>
        <w:rPr>
          <w:rFonts w:hint="eastAsia" w:ascii="Times New Roman" w:hAnsi="Times New Roman" w:eastAsia="宋体"/>
          <w:sz w:val="28"/>
          <w:szCs w:val="28"/>
        </w:rPr>
        <w:t>：吕玉民、刘玉龙、刘青杰、刘强、吴迪、韩林、高宇、王平、李杰、赵风玲、程晓军、赵骅、冯俊超、刘畅、张睿凤、江其生、马娅、张云飞、杜沙沙、李小昊、牛显飞、周媛媛、贺再清、赵娜、刘秋英、时宇花、何俊秋、杜春迎、张冰洁、江婵、王本刚</w:t>
      </w:r>
      <w:r>
        <w:rPr>
          <w:rFonts w:ascii="Times New Roman" w:hAnsi="Times New Roman" w:eastAsia="宋体"/>
          <w:sz w:val="28"/>
          <w:szCs w:val="28"/>
        </w:rPr>
        <w:t>。</w:t>
      </w:r>
    </w:p>
    <w:p w14:paraId="0B22DA71">
      <w:pPr>
        <w:widowControl/>
        <w:shd w:val="clear" w:color="auto" w:fill="FFFFFF"/>
        <w:ind w:firstLine="560" w:firstLineChars="200"/>
        <w:rPr>
          <w:rFonts w:ascii="仿宋_GB2312" w:hAnsi="仿宋_GB2312" w:eastAsia="仿宋_GB2312" w:cs="仿宋_GB2312"/>
          <w:kern w:val="0"/>
          <w:sz w:val="32"/>
          <w:szCs w:val="32"/>
          <w:shd w:val="clear" w:color="auto" w:fill="FFFFFF"/>
          <w:lang w:bidi="ar"/>
        </w:rPr>
      </w:pPr>
      <w:r>
        <w:rPr>
          <w:rFonts w:hint="eastAsia" w:ascii="Times New Roman" w:hAnsi="Times New Roman" w:eastAsia="宋体"/>
          <w:sz w:val="28"/>
          <w:szCs w:val="28"/>
        </w:rPr>
        <w:t>吕玉民、刘玉龙负责整个标准草案制定工作的总体协调，包括标准草案的总体框架、主要技术内容的确定等；吴迪、韩林、高宇、王平负责整理国内外相关文献资料和标准草案的编制等；刘青杰、刘强</w:t>
      </w:r>
      <w:r>
        <w:rPr>
          <w:rFonts w:hint="eastAsia" w:ascii="Times New Roman" w:hAnsi="Times New Roman" w:eastAsia="宋体"/>
          <w:sz w:val="28"/>
          <w:szCs w:val="28"/>
          <w:lang w:eastAsia="zh-CN"/>
        </w:rPr>
        <w:t>、</w:t>
      </w:r>
      <w:r>
        <w:rPr>
          <w:rFonts w:hint="eastAsia" w:ascii="Times New Roman" w:hAnsi="Times New Roman" w:eastAsia="宋体"/>
          <w:sz w:val="28"/>
          <w:szCs w:val="28"/>
          <w:lang w:val="en-US" w:eastAsia="zh-CN"/>
        </w:rPr>
        <w:t>江其生</w:t>
      </w:r>
      <w:r>
        <w:rPr>
          <w:rFonts w:hint="eastAsia" w:ascii="Times New Roman" w:hAnsi="Times New Roman" w:eastAsia="宋体"/>
          <w:sz w:val="28"/>
          <w:szCs w:val="28"/>
        </w:rPr>
        <w:t>负责标准草案总体框架的确定和主要技术内容的修改等；李杰、赵风玲、程晓军、赵骅、冯俊超、刘畅、张睿凤、马娅、张云飞、杜沙沙、李小昊、周媛媛、贺再清、赵娜、刘秋英、时宇花、何俊秋、杜春迎、张冰洁、</w:t>
      </w:r>
      <w:r>
        <w:rPr>
          <w:rFonts w:hint="eastAsia" w:ascii="Times New Roman" w:hAnsi="Times New Roman" w:eastAsia="宋体"/>
          <w:sz w:val="28"/>
          <w:szCs w:val="28"/>
          <w:lang w:val="en-US" w:eastAsia="zh-CN"/>
        </w:rPr>
        <w:t>王本刚</w:t>
      </w:r>
      <w:r>
        <w:rPr>
          <w:rFonts w:hint="eastAsia" w:ascii="Times New Roman" w:hAnsi="Times New Roman" w:eastAsia="宋体"/>
          <w:sz w:val="28"/>
          <w:szCs w:val="28"/>
        </w:rPr>
        <w:t>负责收集国内外相关文献资料并撰写征求意见稿和编制说明等。</w:t>
      </w:r>
    </w:p>
    <w:p w14:paraId="4D8D2411">
      <w:pPr>
        <w:widowControl/>
        <w:numPr>
          <w:ilvl w:val="0"/>
          <w:numId w:val="1"/>
        </w:numPr>
        <w:shd w:val="clear" w:color="auto" w:fill="FFFFFF"/>
        <w:ind w:firstLine="643" w:firstLineChars="200"/>
        <w:rPr>
          <w:rFonts w:ascii="仿宋_GB2312" w:hAnsi="仿宋_GB2312" w:eastAsia="仿宋_GB2312" w:cs="仿宋_GB2312"/>
          <w:b/>
          <w:bCs/>
          <w:kern w:val="0"/>
          <w:sz w:val="32"/>
          <w:szCs w:val="32"/>
          <w:shd w:val="clear" w:color="auto" w:fill="FFFFFF"/>
          <w:lang w:bidi="ar"/>
        </w:rPr>
      </w:pPr>
      <w:r>
        <w:rPr>
          <w:rFonts w:hint="eastAsia" w:ascii="仿宋_GB2312" w:hAnsi="仿宋_GB2312" w:eastAsia="仿宋_GB2312" w:cs="仿宋_GB2312"/>
          <w:b/>
          <w:bCs/>
          <w:kern w:val="0"/>
          <w:sz w:val="32"/>
          <w:szCs w:val="32"/>
          <w:shd w:val="clear" w:color="auto" w:fill="FFFFFF"/>
          <w:lang w:bidi="ar"/>
        </w:rPr>
        <w:t>标准制修订原则</w:t>
      </w:r>
    </w:p>
    <w:p w14:paraId="7121072B">
      <w:pPr>
        <w:widowControl/>
        <w:shd w:val="clear" w:color="auto" w:fill="FFFFFF"/>
        <w:rPr>
          <w:rFonts w:ascii="仿宋_GB2312" w:hAnsi="仿宋_GB2312" w:eastAsia="仿宋_GB2312" w:cs="仿宋_GB2312"/>
          <w:kern w:val="0"/>
          <w:sz w:val="32"/>
          <w:szCs w:val="32"/>
          <w:shd w:val="clear" w:color="auto" w:fill="FFFFFF"/>
          <w:lang w:bidi="ar"/>
        </w:rPr>
      </w:pPr>
      <w:r>
        <w:rPr>
          <w:rFonts w:hint="eastAsia" w:ascii="Times New Roman" w:hAnsi="Times New Roman" w:eastAsia="宋体"/>
          <w:sz w:val="28"/>
          <w:szCs w:val="28"/>
        </w:rPr>
        <w:t xml:space="preserve">    本标准</w:t>
      </w:r>
      <w:r>
        <w:rPr>
          <w:rFonts w:hint="eastAsia"/>
          <w:sz w:val="28"/>
          <w:szCs w:val="28"/>
        </w:rPr>
        <w:t>草案</w:t>
      </w:r>
      <w:r>
        <w:rPr>
          <w:rFonts w:hint="eastAsia" w:ascii="Times New Roman" w:hAnsi="Times New Roman" w:eastAsia="宋体"/>
          <w:sz w:val="28"/>
          <w:szCs w:val="28"/>
        </w:rPr>
        <w:t>的制</w:t>
      </w:r>
      <w:r>
        <w:rPr>
          <w:rFonts w:hint="eastAsia"/>
          <w:sz w:val="28"/>
          <w:szCs w:val="28"/>
        </w:rPr>
        <w:t>订</w:t>
      </w:r>
      <w:r>
        <w:rPr>
          <w:rFonts w:hint="eastAsia" w:ascii="Times New Roman" w:hAnsi="Times New Roman" w:eastAsia="宋体"/>
          <w:sz w:val="28"/>
          <w:szCs w:val="28"/>
        </w:rPr>
        <w:t>主要依据《中华人民共和国职业病防治法》、国家核应急预案（2013）、中华人民共和国突发事件应对法（2007）、核应急管理导则—放射源和辐射技术应用应急准备与响应（2003）、核事故医学应急管理规定（1994）、国家卫生计生委核事故和辐射事故卫生应急预案（2009）</w:t>
      </w:r>
      <w:r>
        <w:rPr>
          <w:rFonts w:hint="eastAsia"/>
          <w:sz w:val="28"/>
          <w:szCs w:val="28"/>
        </w:rPr>
        <w:t>和</w:t>
      </w:r>
      <w:r>
        <w:rPr>
          <w:rFonts w:hint="eastAsia" w:ascii="Times New Roman" w:hAnsi="Times New Roman" w:eastAsia="宋体"/>
          <w:sz w:val="28"/>
          <w:szCs w:val="28"/>
        </w:rPr>
        <w:t>《GBZ/T 279—2017 核和辐射事故医学应急处理导则》等国家法规和标准</w:t>
      </w:r>
      <w:r>
        <w:rPr>
          <w:rFonts w:hint="eastAsia"/>
          <w:sz w:val="28"/>
          <w:szCs w:val="28"/>
        </w:rPr>
        <w:t>，参考国内外辐射生物剂量估算的相关标准、技术报告和文献资料编制而成，填补国内尚无细胞遗传指标半自动分析估算生物剂量的空白。</w:t>
      </w:r>
    </w:p>
    <w:p w14:paraId="410E6902">
      <w:pPr>
        <w:widowControl/>
        <w:numPr>
          <w:ilvl w:val="0"/>
          <w:numId w:val="1"/>
        </w:numPr>
        <w:shd w:val="clear" w:color="auto" w:fill="FFFFFF"/>
        <w:ind w:firstLine="643" w:firstLineChars="200"/>
        <w:rPr>
          <w:rFonts w:ascii="仿宋_GB2312" w:hAnsi="仿宋_GB2312" w:eastAsia="仿宋_GB2312" w:cs="仿宋_GB2312"/>
          <w:b/>
          <w:bCs/>
          <w:kern w:val="0"/>
          <w:sz w:val="32"/>
          <w:szCs w:val="32"/>
          <w:shd w:val="clear" w:color="auto" w:fill="FFFFFF"/>
          <w:lang w:bidi="ar"/>
        </w:rPr>
      </w:pPr>
      <w:r>
        <w:rPr>
          <w:rFonts w:hint="eastAsia" w:ascii="仿宋_GB2312" w:hAnsi="仿宋_GB2312" w:eastAsia="仿宋_GB2312" w:cs="仿宋_GB2312"/>
          <w:b/>
          <w:bCs/>
          <w:kern w:val="0"/>
          <w:sz w:val="32"/>
          <w:szCs w:val="32"/>
          <w:shd w:val="clear" w:color="auto" w:fill="FFFFFF"/>
          <w:lang w:bidi="ar"/>
        </w:rPr>
        <w:t>标准主要条文或技术内容的依据；专利情况说明；修订标准应说明新旧标准水平的对比情况</w:t>
      </w:r>
    </w:p>
    <w:p w14:paraId="5FC201D4">
      <w:pPr>
        <w:widowControl/>
        <w:numPr>
          <w:ilvl w:val="0"/>
          <w:numId w:val="2"/>
        </w:numPr>
        <w:shd w:val="clear" w:color="auto" w:fill="FFFFFF"/>
        <w:ind w:left="420" w:leftChars="200"/>
        <w:rPr>
          <w:rFonts w:ascii="仿宋_GB2312" w:hAnsi="仿宋_GB2312" w:eastAsia="仿宋_GB2312" w:cs="仿宋_GB2312"/>
          <w:b/>
          <w:bCs/>
          <w:kern w:val="0"/>
          <w:sz w:val="32"/>
          <w:szCs w:val="32"/>
          <w:shd w:val="clear" w:color="auto" w:fill="FFFFFF"/>
          <w:lang w:bidi="ar"/>
        </w:rPr>
      </w:pPr>
      <w:r>
        <w:rPr>
          <w:rFonts w:hint="eastAsia" w:ascii="仿宋_GB2312" w:hAnsi="仿宋_GB2312" w:eastAsia="仿宋_GB2312" w:cs="仿宋_GB2312"/>
          <w:b/>
          <w:bCs/>
          <w:kern w:val="0"/>
          <w:sz w:val="32"/>
          <w:szCs w:val="32"/>
          <w:shd w:val="clear" w:color="auto" w:fill="FFFFFF"/>
          <w:lang w:bidi="ar"/>
        </w:rPr>
        <w:t>标准主要条文或技术内容的依据</w:t>
      </w:r>
    </w:p>
    <w:p w14:paraId="51D95DE8">
      <w:pPr>
        <w:widowControl/>
        <w:shd w:val="clear" w:color="auto" w:fill="FFFFFF"/>
        <w:ind w:firstLine="621"/>
        <w:rPr>
          <w:rFonts w:ascii="Times New Roman" w:hAnsi="Times New Roman" w:eastAsia="宋体" w:cs="Times New Roman"/>
          <w:color w:val="000000"/>
          <w:kern w:val="0"/>
          <w:sz w:val="28"/>
          <w:szCs w:val="28"/>
        </w:rPr>
      </w:pPr>
      <w:r>
        <w:rPr>
          <w:rFonts w:hint="eastAsia" w:ascii="Times New Roman" w:hAnsi="Times New Roman" w:eastAsia="宋体" w:cs="Times New Roman"/>
          <w:color w:val="000000"/>
          <w:kern w:val="0"/>
          <w:sz w:val="28"/>
          <w:szCs w:val="28"/>
        </w:rPr>
        <w:t>本标准草案的主要条文主要依据</w:t>
      </w:r>
      <w:r>
        <w:rPr>
          <w:rFonts w:ascii="Times New Roman" w:hAnsi="Times New Roman" w:eastAsia="宋体" w:cs="Times New Roman"/>
          <w:color w:val="000000"/>
          <w:kern w:val="0"/>
          <w:sz w:val="28"/>
          <w:szCs w:val="28"/>
        </w:rPr>
        <w:t>国际原子能机构（International Atomic Energy Agency, IAEA）于2011年出版的技术报告《细胞遗传指标生物剂量估算在辐射应急响应准备中的应用》</w:t>
      </w:r>
      <w:r>
        <w:rPr>
          <w:rFonts w:hint="eastAsia" w:ascii="Times New Roman" w:hAnsi="Times New Roman" w:eastAsia="宋体" w:cs="Times New Roman"/>
          <w:color w:val="000000"/>
          <w:kern w:val="0"/>
          <w:sz w:val="28"/>
          <w:szCs w:val="28"/>
        </w:rPr>
        <w:t>、</w:t>
      </w:r>
      <w:r>
        <w:rPr>
          <w:rFonts w:ascii="Times New Roman" w:hAnsi="Times New Roman" w:eastAsia="宋体" w:cs="Times New Roman"/>
          <w:color w:val="000000"/>
          <w:kern w:val="0"/>
          <w:sz w:val="28"/>
          <w:szCs w:val="28"/>
        </w:rPr>
        <w:t>国际标准化组织 (the International Organization for Standardization, ISO)发布的</w:t>
      </w:r>
      <w:r>
        <w:rPr>
          <w:rFonts w:hint="eastAsia" w:ascii="Times New Roman" w:hAnsi="Times New Roman" w:eastAsia="宋体" w:cs="Times New Roman"/>
          <w:color w:val="000000"/>
          <w:kern w:val="0"/>
          <w:sz w:val="28"/>
          <w:szCs w:val="28"/>
        </w:rPr>
        <w:t>技术标准</w:t>
      </w:r>
      <w:r>
        <w:rPr>
          <w:rFonts w:ascii="Times New Roman" w:hAnsi="Times New Roman" w:eastAsia="宋体" w:cs="Times New Roman"/>
          <w:color w:val="000000"/>
          <w:kern w:val="0"/>
          <w:sz w:val="28"/>
          <w:szCs w:val="28"/>
        </w:rPr>
        <w:t>《ISO 19238: 20</w:t>
      </w:r>
      <w:r>
        <w:rPr>
          <w:rFonts w:hint="eastAsia" w:ascii="Times New Roman" w:hAnsi="Times New Roman" w:eastAsia="宋体" w:cs="Times New Roman"/>
          <w:color w:val="000000"/>
          <w:kern w:val="0"/>
          <w:sz w:val="28"/>
          <w:szCs w:val="28"/>
        </w:rPr>
        <w:t>23</w:t>
      </w:r>
      <w:r>
        <w:rPr>
          <w:rFonts w:ascii="Times New Roman" w:hAnsi="Times New Roman" w:eastAsia="宋体" w:cs="Times New Roman"/>
          <w:color w:val="000000"/>
          <w:kern w:val="0"/>
          <w:sz w:val="28"/>
          <w:szCs w:val="28"/>
        </w:rPr>
        <w:t xml:space="preserve">(en) </w:t>
      </w:r>
      <w:r>
        <w:rPr>
          <w:rFonts w:hint="default" w:ascii="Times New Roman" w:hAnsi="Times New Roman" w:eastAsia="宋体" w:cs="Times New Roman"/>
          <w:color w:val="000000"/>
          <w:kern w:val="0"/>
          <w:sz w:val="28"/>
          <w:szCs w:val="28"/>
          <w:lang w:val="en-US" w:eastAsia="zh-CN"/>
        </w:rPr>
        <w:t>辐射防护：细胞遗传指标生物剂量估算实验室应遵守的技术标准</w:t>
      </w:r>
      <w:r>
        <w:rPr>
          <w:rFonts w:ascii="Times New Roman" w:hAnsi="Times New Roman" w:eastAsia="宋体" w:cs="Times New Roman"/>
          <w:color w:val="000000"/>
          <w:kern w:val="0"/>
          <w:sz w:val="28"/>
          <w:szCs w:val="28"/>
        </w:rPr>
        <w:t>—</w:t>
      </w:r>
      <w:r>
        <w:rPr>
          <w:rFonts w:hint="eastAsia" w:ascii="Times New Roman" w:hAnsi="Times New Roman" w:eastAsia="宋体" w:cs="Times New Roman"/>
          <w:color w:val="000000"/>
          <w:kern w:val="0"/>
          <w:sz w:val="28"/>
          <w:szCs w:val="28"/>
          <w:lang w:val="en-US" w:eastAsia="zh-CN"/>
        </w:rPr>
        <w:t>双着丝粒体试验</w:t>
      </w:r>
      <w:r>
        <w:rPr>
          <w:rFonts w:ascii="Times New Roman" w:hAnsi="Times New Roman" w:eastAsia="宋体" w:cs="Times New Roman"/>
          <w:color w:val="000000"/>
          <w:kern w:val="0"/>
          <w:sz w:val="28"/>
          <w:szCs w:val="28"/>
        </w:rPr>
        <w:t>》</w:t>
      </w:r>
      <w:r>
        <w:rPr>
          <w:rFonts w:hint="eastAsia" w:ascii="Times New Roman" w:hAnsi="Times New Roman" w:eastAsia="宋体" w:cs="Times New Roman"/>
          <w:color w:val="000000"/>
          <w:kern w:val="0"/>
          <w:sz w:val="28"/>
          <w:szCs w:val="28"/>
        </w:rPr>
        <w:t>和</w:t>
      </w:r>
      <w:r>
        <w:rPr>
          <w:rFonts w:ascii="Times New Roman" w:hAnsi="Times New Roman" w:eastAsia="宋体" w:cs="Times New Roman"/>
          <w:color w:val="000000"/>
          <w:kern w:val="0"/>
          <w:sz w:val="28"/>
          <w:szCs w:val="28"/>
        </w:rPr>
        <w:t>《ISO 21243: 20</w:t>
      </w:r>
      <w:r>
        <w:rPr>
          <w:rFonts w:hint="eastAsia" w:ascii="Times New Roman" w:hAnsi="Times New Roman" w:eastAsia="宋体" w:cs="Times New Roman"/>
          <w:color w:val="000000"/>
          <w:kern w:val="0"/>
          <w:sz w:val="28"/>
          <w:szCs w:val="28"/>
        </w:rPr>
        <w:t>22</w:t>
      </w:r>
      <w:r>
        <w:rPr>
          <w:rFonts w:ascii="Times New Roman" w:hAnsi="Times New Roman" w:eastAsia="宋体" w:cs="Times New Roman"/>
          <w:color w:val="000000"/>
          <w:kern w:val="0"/>
          <w:sz w:val="28"/>
          <w:szCs w:val="28"/>
        </w:rPr>
        <w:t xml:space="preserve">(en) </w:t>
      </w:r>
      <w:r>
        <w:rPr>
          <w:rFonts w:hint="default" w:ascii="Times New Roman" w:hAnsi="Times New Roman" w:eastAsia="宋体" w:cs="Times New Roman"/>
          <w:color w:val="000000"/>
          <w:kern w:val="0"/>
          <w:sz w:val="28"/>
          <w:szCs w:val="28"/>
          <w:lang w:val="en-US" w:eastAsia="zh-CN"/>
        </w:rPr>
        <w:t>辐射防护</w:t>
      </w:r>
      <w:r>
        <w:rPr>
          <w:rFonts w:hint="eastAsia" w:ascii="Times New Roman" w:hAnsi="Times New Roman" w:eastAsia="宋体" w:cs="Times New Roman"/>
          <w:color w:val="000000"/>
          <w:kern w:val="0"/>
          <w:sz w:val="28"/>
          <w:szCs w:val="28"/>
          <w:lang w:val="en-US" w:eastAsia="zh-CN"/>
        </w:rPr>
        <w:t>—核与辐射应急应对大规模伤亡事件中</w:t>
      </w:r>
      <w:r>
        <w:rPr>
          <w:rFonts w:hint="default" w:ascii="Times New Roman" w:hAnsi="Times New Roman" w:eastAsia="宋体" w:cs="Times New Roman"/>
          <w:color w:val="000000"/>
          <w:kern w:val="0"/>
          <w:sz w:val="28"/>
          <w:szCs w:val="28"/>
          <w:lang w:val="en-US" w:eastAsia="zh-CN"/>
        </w:rPr>
        <w:t>细胞遗传指标</w:t>
      </w:r>
      <w:r>
        <w:rPr>
          <w:rFonts w:hint="eastAsia" w:ascii="Times New Roman" w:hAnsi="Times New Roman" w:eastAsia="宋体" w:cs="Times New Roman"/>
          <w:color w:val="000000"/>
          <w:kern w:val="0"/>
          <w:sz w:val="28"/>
          <w:szCs w:val="28"/>
          <w:lang w:val="en-US" w:eastAsia="zh-CN"/>
        </w:rPr>
        <w:t>分类评估</w:t>
      </w:r>
      <w:r>
        <w:rPr>
          <w:rFonts w:hint="default" w:ascii="Times New Roman" w:hAnsi="Times New Roman" w:eastAsia="宋体" w:cs="Times New Roman"/>
          <w:color w:val="000000"/>
          <w:kern w:val="0"/>
          <w:sz w:val="28"/>
          <w:szCs w:val="28"/>
          <w:lang w:val="en-US" w:eastAsia="zh-CN"/>
        </w:rPr>
        <w:t>实验室应遵守的技术标准</w:t>
      </w:r>
      <w:r>
        <w:rPr>
          <w:rFonts w:hint="eastAsia" w:ascii="Times New Roman" w:hAnsi="Times New Roman" w:eastAsia="宋体" w:cs="Times New Roman"/>
          <w:color w:val="000000"/>
          <w:kern w:val="0"/>
          <w:sz w:val="28"/>
          <w:szCs w:val="28"/>
          <w:lang w:val="en-US" w:eastAsia="zh-CN"/>
        </w:rPr>
        <w:t>—双着丝粒体试验的应用原则</w:t>
      </w:r>
      <w:r>
        <w:rPr>
          <w:rFonts w:ascii="Times New Roman" w:hAnsi="Times New Roman" w:eastAsia="宋体" w:cs="Times New Roman"/>
          <w:color w:val="000000"/>
          <w:kern w:val="0"/>
          <w:sz w:val="28"/>
          <w:szCs w:val="28"/>
        </w:rPr>
        <w:t>》</w:t>
      </w:r>
      <w:r>
        <w:rPr>
          <w:rFonts w:hint="eastAsia" w:ascii="Times New Roman" w:hAnsi="Times New Roman" w:eastAsia="宋体" w:cs="Times New Roman"/>
          <w:color w:val="000000"/>
          <w:kern w:val="0"/>
          <w:sz w:val="28"/>
          <w:szCs w:val="28"/>
        </w:rPr>
        <w:t>，以及国内外发表的相关文献资料，并</w:t>
      </w:r>
      <w:r>
        <w:rPr>
          <w:rFonts w:ascii="Times New Roman" w:hAnsi="Times New Roman" w:eastAsia="宋体" w:cs="Times New Roman"/>
          <w:color w:val="000000"/>
          <w:kern w:val="0"/>
          <w:sz w:val="28"/>
          <w:szCs w:val="28"/>
        </w:rPr>
        <w:t>结合我国的实际情况，</w:t>
      </w:r>
      <w:r>
        <w:rPr>
          <w:rFonts w:hint="eastAsia" w:ascii="Times New Roman" w:hAnsi="Times New Roman" w:eastAsia="宋体" w:cs="Times New Roman"/>
          <w:color w:val="000000"/>
          <w:kern w:val="0"/>
          <w:sz w:val="28"/>
          <w:szCs w:val="28"/>
        </w:rPr>
        <w:t>制订了本标准的草案。</w:t>
      </w:r>
    </w:p>
    <w:p w14:paraId="68A30A22">
      <w:pPr>
        <w:widowControl/>
        <w:shd w:val="clear" w:color="auto" w:fill="FFFFFF"/>
        <w:ind w:firstLine="621"/>
        <w:rPr>
          <w:rFonts w:ascii="Times New Roman" w:hAnsi="Times New Roman" w:eastAsia="宋体" w:cs="Times New Roman"/>
          <w:color w:val="000000"/>
          <w:kern w:val="0"/>
          <w:sz w:val="28"/>
          <w:szCs w:val="28"/>
        </w:rPr>
      </w:pPr>
      <w:r>
        <w:rPr>
          <w:rFonts w:hint="eastAsia" w:ascii="Times New Roman" w:hAnsi="Times New Roman" w:eastAsia="宋体" w:cs="Times New Roman"/>
          <w:color w:val="000000"/>
          <w:kern w:val="0"/>
          <w:sz w:val="28"/>
          <w:szCs w:val="28"/>
        </w:rPr>
        <w:t>本标准主要技术内容包括主要仪器设备、样品采集、照射条件和微量全血培养、染色体标本制备、双着丝粒染色体半自动分析、剂量-效应曲线的拟合、剂量估算、质量控制和估算生物剂量的原则等</w:t>
      </w:r>
      <w:r>
        <w:rPr>
          <w:rFonts w:ascii="Times New Roman" w:hAnsi="Times New Roman" w:eastAsia="宋体" w:cs="Times New Roman"/>
          <w:color w:val="000000"/>
          <w:kern w:val="0"/>
          <w:sz w:val="28"/>
          <w:szCs w:val="28"/>
        </w:rPr>
        <w:t>。</w:t>
      </w:r>
      <w:r>
        <w:rPr>
          <w:rFonts w:hint="eastAsia" w:ascii="Times New Roman" w:hAnsi="Times New Roman" w:eastAsia="宋体" w:cs="Times New Roman"/>
          <w:color w:val="000000"/>
          <w:kern w:val="0"/>
          <w:sz w:val="28"/>
          <w:szCs w:val="28"/>
        </w:rPr>
        <w:t>按照</w:t>
      </w:r>
      <w:r>
        <w:rPr>
          <w:rFonts w:ascii="Times New Roman" w:hAnsi="Times New Roman" w:eastAsia="宋体" w:cs="Times New Roman"/>
          <w:color w:val="000000"/>
          <w:kern w:val="0"/>
          <w:sz w:val="28"/>
          <w:szCs w:val="28"/>
        </w:rPr>
        <w:t>《标准化工作导则 第1部分 标准的结构和编写》（</w:t>
      </w:r>
      <w:r>
        <w:rPr>
          <w:rFonts w:hint="eastAsia" w:ascii="Times New Roman"/>
          <w:sz w:val="28"/>
          <w:szCs w:val="28"/>
        </w:rPr>
        <w:t>GB/T1.1—2020</w:t>
      </w:r>
      <w:r>
        <w:rPr>
          <w:rFonts w:ascii="Times New Roman" w:hAnsi="Times New Roman" w:eastAsia="宋体" w:cs="Times New Roman"/>
          <w:color w:val="000000"/>
          <w:kern w:val="0"/>
          <w:sz w:val="28"/>
          <w:szCs w:val="28"/>
        </w:rPr>
        <w:t>）要求，进行标准</w:t>
      </w:r>
      <w:r>
        <w:rPr>
          <w:rFonts w:hint="eastAsia" w:ascii="Times New Roman" w:hAnsi="Times New Roman" w:eastAsia="宋体" w:cs="Times New Roman"/>
          <w:color w:val="000000"/>
          <w:kern w:val="0"/>
          <w:sz w:val="28"/>
          <w:szCs w:val="28"/>
        </w:rPr>
        <w:t>草案</w:t>
      </w:r>
      <w:r>
        <w:rPr>
          <w:rFonts w:ascii="Times New Roman" w:hAnsi="Times New Roman" w:eastAsia="宋体" w:cs="Times New Roman"/>
          <w:color w:val="000000"/>
          <w:kern w:val="0"/>
          <w:sz w:val="28"/>
          <w:szCs w:val="28"/>
        </w:rPr>
        <w:t>编写。其中第1～3章为通用标题，即</w:t>
      </w:r>
      <w:r>
        <w:rPr>
          <w:rFonts w:hint="eastAsia" w:ascii="Times New Roman" w:hAnsi="Times New Roman" w:eastAsia="宋体" w:cs="Times New Roman"/>
          <w:color w:val="000000"/>
          <w:kern w:val="0"/>
          <w:sz w:val="28"/>
          <w:szCs w:val="28"/>
        </w:rPr>
        <w:t>“</w:t>
      </w:r>
      <w:r>
        <w:rPr>
          <w:rFonts w:ascii="Times New Roman" w:hAnsi="Times New Roman" w:eastAsia="宋体" w:cs="Times New Roman"/>
          <w:color w:val="000000"/>
          <w:kern w:val="0"/>
          <w:sz w:val="28"/>
          <w:szCs w:val="28"/>
        </w:rPr>
        <w:t>范围</w:t>
      </w:r>
      <w:r>
        <w:rPr>
          <w:rFonts w:hint="eastAsia" w:ascii="Times New Roman" w:hAnsi="Times New Roman" w:eastAsia="宋体" w:cs="Times New Roman"/>
          <w:color w:val="000000"/>
          <w:kern w:val="0"/>
          <w:sz w:val="28"/>
          <w:szCs w:val="28"/>
        </w:rPr>
        <w:t>”</w:t>
      </w:r>
      <w:r>
        <w:rPr>
          <w:rFonts w:ascii="Times New Roman" w:hAnsi="Times New Roman" w:eastAsia="宋体" w:cs="Times New Roman"/>
          <w:color w:val="000000"/>
          <w:kern w:val="0"/>
          <w:sz w:val="28"/>
          <w:szCs w:val="28"/>
        </w:rPr>
        <w:t>、</w:t>
      </w:r>
      <w:r>
        <w:rPr>
          <w:rFonts w:hint="eastAsia" w:ascii="Times New Roman" w:hAnsi="Times New Roman" w:eastAsia="宋体" w:cs="Times New Roman"/>
          <w:color w:val="000000"/>
          <w:kern w:val="0"/>
          <w:sz w:val="28"/>
          <w:szCs w:val="28"/>
        </w:rPr>
        <w:t>“</w:t>
      </w:r>
      <w:r>
        <w:rPr>
          <w:rFonts w:ascii="Times New Roman" w:hAnsi="Times New Roman" w:eastAsia="宋体" w:cs="Times New Roman"/>
          <w:color w:val="000000"/>
          <w:kern w:val="0"/>
          <w:sz w:val="28"/>
          <w:szCs w:val="28"/>
        </w:rPr>
        <w:t>规范性引用文件</w:t>
      </w:r>
      <w:r>
        <w:rPr>
          <w:rFonts w:hint="eastAsia" w:ascii="Times New Roman" w:hAnsi="Times New Roman" w:eastAsia="宋体" w:cs="Times New Roman"/>
          <w:color w:val="000000"/>
          <w:kern w:val="0"/>
          <w:sz w:val="28"/>
          <w:szCs w:val="28"/>
        </w:rPr>
        <w:t>”</w:t>
      </w:r>
      <w:r>
        <w:rPr>
          <w:rFonts w:ascii="Times New Roman" w:hAnsi="Times New Roman" w:eastAsia="宋体" w:cs="Times New Roman"/>
          <w:color w:val="000000"/>
          <w:kern w:val="0"/>
          <w:sz w:val="28"/>
          <w:szCs w:val="28"/>
        </w:rPr>
        <w:t>、</w:t>
      </w:r>
      <w:r>
        <w:rPr>
          <w:rFonts w:hint="eastAsia" w:ascii="Times New Roman" w:hAnsi="Times New Roman" w:eastAsia="宋体" w:cs="Times New Roman"/>
          <w:color w:val="000000"/>
          <w:kern w:val="0"/>
          <w:sz w:val="28"/>
          <w:szCs w:val="28"/>
        </w:rPr>
        <w:t>“</w:t>
      </w:r>
      <w:r>
        <w:rPr>
          <w:rFonts w:ascii="Times New Roman" w:hAnsi="Times New Roman" w:eastAsia="宋体" w:cs="Times New Roman"/>
          <w:color w:val="000000"/>
          <w:kern w:val="0"/>
          <w:sz w:val="28"/>
          <w:szCs w:val="28"/>
        </w:rPr>
        <w:t>术语和定义</w:t>
      </w:r>
      <w:r>
        <w:rPr>
          <w:rFonts w:hint="eastAsia" w:ascii="Times New Roman" w:hAnsi="Times New Roman" w:eastAsia="宋体" w:cs="Times New Roman"/>
          <w:color w:val="000000"/>
          <w:kern w:val="0"/>
          <w:sz w:val="28"/>
          <w:szCs w:val="28"/>
        </w:rPr>
        <w:t>”</w:t>
      </w:r>
      <w:r>
        <w:rPr>
          <w:rFonts w:ascii="Times New Roman" w:hAnsi="Times New Roman" w:eastAsia="宋体" w:cs="Times New Roman"/>
          <w:color w:val="000000"/>
          <w:kern w:val="0"/>
          <w:sz w:val="28"/>
          <w:szCs w:val="28"/>
        </w:rPr>
        <w:t>。第4章和附录A</w:t>
      </w:r>
      <w:r>
        <w:rPr>
          <w:rFonts w:hint="eastAsia" w:ascii="Times New Roman" w:hAnsi="Times New Roman" w:eastAsia="宋体" w:cs="Times New Roman"/>
          <w:color w:val="000000"/>
          <w:kern w:val="0"/>
          <w:sz w:val="28"/>
          <w:szCs w:val="28"/>
        </w:rPr>
        <w:t>、</w:t>
      </w:r>
      <w:r>
        <w:rPr>
          <w:rFonts w:ascii="Times New Roman" w:hAnsi="Times New Roman" w:eastAsia="宋体" w:cs="Times New Roman"/>
          <w:color w:val="000000"/>
          <w:kern w:val="0"/>
          <w:sz w:val="28"/>
          <w:szCs w:val="28"/>
        </w:rPr>
        <w:t>B</w:t>
      </w:r>
      <w:r>
        <w:rPr>
          <w:rFonts w:hint="eastAsia" w:ascii="Times New Roman" w:hAnsi="Times New Roman" w:eastAsia="宋体" w:cs="Times New Roman"/>
          <w:color w:val="000000"/>
          <w:kern w:val="0"/>
          <w:sz w:val="28"/>
          <w:szCs w:val="28"/>
        </w:rPr>
        <w:t>、C</w:t>
      </w:r>
      <w:r>
        <w:rPr>
          <w:rFonts w:ascii="Times New Roman" w:hAnsi="Times New Roman" w:eastAsia="宋体" w:cs="Times New Roman"/>
          <w:color w:val="000000"/>
          <w:kern w:val="0"/>
          <w:sz w:val="28"/>
          <w:szCs w:val="28"/>
        </w:rPr>
        <w:t>和</w:t>
      </w:r>
      <w:r>
        <w:rPr>
          <w:rFonts w:hint="eastAsia" w:ascii="Times New Roman" w:hAnsi="Times New Roman" w:eastAsia="宋体" w:cs="Times New Roman"/>
          <w:color w:val="000000"/>
          <w:kern w:val="0"/>
          <w:sz w:val="28"/>
          <w:szCs w:val="28"/>
        </w:rPr>
        <w:t>D</w:t>
      </w:r>
      <w:r>
        <w:rPr>
          <w:rFonts w:ascii="Times New Roman" w:hAnsi="Times New Roman" w:eastAsia="宋体" w:cs="Times New Roman"/>
          <w:color w:val="000000"/>
          <w:kern w:val="0"/>
          <w:sz w:val="28"/>
          <w:szCs w:val="28"/>
        </w:rPr>
        <w:t>为本标准</w:t>
      </w:r>
      <w:r>
        <w:rPr>
          <w:rFonts w:hint="eastAsia" w:ascii="Times New Roman" w:hAnsi="Times New Roman" w:eastAsia="宋体" w:cs="Times New Roman"/>
          <w:color w:val="000000"/>
          <w:kern w:val="0"/>
          <w:sz w:val="28"/>
          <w:szCs w:val="28"/>
        </w:rPr>
        <w:t>草案</w:t>
      </w:r>
      <w:r>
        <w:rPr>
          <w:rFonts w:ascii="Times New Roman" w:hAnsi="Times New Roman" w:eastAsia="宋体" w:cs="Times New Roman"/>
          <w:color w:val="000000"/>
          <w:kern w:val="0"/>
          <w:sz w:val="28"/>
          <w:szCs w:val="28"/>
        </w:rPr>
        <w:t>的主</w:t>
      </w:r>
      <w:r>
        <w:rPr>
          <w:rFonts w:hint="eastAsia" w:ascii="Times New Roman" w:hAnsi="Times New Roman" w:eastAsia="宋体" w:cs="Times New Roman"/>
          <w:color w:val="000000"/>
          <w:kern w:val="0"/>
          <w:sz w:val="28"/>
          <w:szCs w:val="28"/>
        </w:rPr>
        <w:t>要技术</w:t>
      </w:r>
      <w:r>
        <w:rPr>
          <w:rFonts w:ascii="Times New Roman" w:hAnsi="Times New Roman" w:eastAsia="宋体" w:cs="Times New Roman"/>
          <w:color w:val="000000"/>
          <w:kern w:val="0"/>
          <w:sz w:val="28"/>
          <w:szCs w:val="28"/>
        </w:rPr>
        <w:t>内容。</w:t>
      </w:r>
    </w:p>
    <w:p w14:paraId="49097ECC">
      <w:pPr>
        <w:ind w:firstLine="560" w:firstLineChars="200"/>
        <w:rPr>
          <w:rFonts w:ascii="Times New Roman" w:hAnsi="Times New Roman" w:eastAsia="宋体" w:cs="仿宋_GB2312"/>
          <w:kern w:val="0"/>
          <w:sz w:val="28"/>
          <w:szCs w:val="28"/>
          <w:shd w:val="clear" w:color="auto" w:fill="FFFFFF"/>
          <w:lang w:bidi="ar"/>
        </w:rPr>
      </w:pPr>
      <w:r>
        <w:rPr>
          <w:rFonts w:hint="eastAsia" w:ascii="Times New Roman" w:hAnsi="Times New Roman" w:eastAsia="宋体" w:cs="仿宋_GB2312"/>
          <w:kern w:val="0"/>
          <w:sz w:val="28"/>
          <w:szCs w:val="28"/>
          <w:shd w:val="clear" w:color="auto" w:fill="FFFFFF"/>
          <w:lang w:bidi="ar"/>
        </w:rPr>
        <w:t>标准主要条文如下：</w:t>
      </w:r>
    </w:p>
    <w:p w14:paraId="722FE12D">
      <w:pPr>
        <w:ind w:firstLine="560" w:firstLineChars="200"/>
        <w:rPr>
          <w:rFonts w:ascii="Times New Roman" w:hAnsi="Times New Roman" w:eastAsia="宋体"/>
          <w:sz w:val="28"/>
          <w:szCs w:val="28"/>
        </w:rPr>
      </w:pPr>
      <w:r>
        <w:rPr>
          <w:rFonts w:ascii="Times New Roman" w:hAnsi="Times New Roman" w:eastAsia="宋体"/>
          <w:sz w:val="28"/>
          <w:szCs w:val="28"/>
        </w:rPr>
        <w:t xml:space="preserve">1. </w:t>
      </w:r>
      <w:r>
        <w:rPr>
          <w:rFonts w:hint="eastAsia" w:ascii="Times New Roman" w:hAnsi="Times New Roman" w:eastAsia="宋体"/>
          <w:b/>
          <w:bCs/>
          <w:sz w:val="28"/>
          <w:szCs w:val="28"/>
        </w:rPr>
        <w:t>范围</w:t>
      </w:r>
    </w:p>
    <w:p w14:paraId="11DF2EF3">
      <w:pPr>
        <w:ind w:firstLine="560" w:firstLineChars="200"/>
        <w:rPr>
          <w:rFonts w:ascii="Times New Roman" w:hAnsi="Times New Roman" w:eastAsia="宋体"/>
          <w:sz w:val="28"/>
          <w:szCs w:val="28"/>
        </w:rPr>
      </w:pPr>
      <w:r>
        <w:rPr>
          <w:rFonts w:ascii="Times New Roman" w:hAnsi="Times New Roman" w:eastAsia="宋体"/>
          <w:sz w:val="28"/>
          <w:szCs w:val="28"/>
        </w:rPr>
        <w:t xml:space="preserve">2. </w:t>
      </w:r>
      <w:r>
        <w:rPr>
          <w:rFonts w:hint="eastAsia" w:ascii="Times New Roman" w:hAnsi="Times New Roman" w:eastAsia="宋体"/>
          <w:b/>
          <w:bCs/>
          <w:sz w:val="28"/>
          <w:szCs w:val="28"/>
        </w:rPr>
        <w:t>规范性引用文件</w:t>
      </w:r>
    </w:p>
    <w:p w14:paraId="28D1D325">
      <w:pPr>
        <w:ind w:firstLine="560" w:firstLineChars="200"/>
        <w:rPr>
          <w:rFonts w:ascii="Times New Roman" w:hAnsi="Times New Roman" w:eastAsia="宋体"/>
          <w:b/>
          <w:bCs/>
          <w:sz w:val="28"/>
          <w:szCs w:val="28"/>
        </w:rPr>
      </w:pPr>
      <w:r>
        <w:rPr>
          <w:rFonts w:ascii="Times New Roman" w:hAnsi="Times New Roman" w:eastAsia="宋体"/>
          <w:sz w:val="28"/>
          <w:szCs w:val="28"/>
        </w:rPr>
        <w:t xml:space="preserve">3. </w:t>
      </w:r>
      <w:r>
        <w:rPr>
          <w:rFonts w:hint="eastAsia" w:ascii="Times New Roman" w:hAnsi="Times New Roman" w:eastAsia="宋体"/>
          <w:b/>
          <w:bCs/>
          <w:sz w:val="28"/>
          <w:szCs w:val="28"/>
        </w:rPr>
        <w:t>术语和定义</w:t>
      </w:r>
    </w:p>
    <w:p w14:paraId="7B983B7E">
      <w:pPr>
        <w:ind w:firstLine="562" w:firstLineChars="200"/>
        <w:rPr>
          <w:rFonts w:ascii="Times New Roman" w:hAnsi="Times New Roman" w:eastAsia="宋体"/>
          <w:b/>
          <w:bCs/>
          <w:sz w:val="28"/>
          <w:szCs w:val="28"/>
        </w:rPr>
      </w:pPr>
      <w:r>
        <w:rPr>
          <w:rFonts w:hint="eastAsia" w:ascii="Times New Roman" w:hAnsi="Times New Roman" w:eastAsia="宋体"/>
          <w:b/>
          <w:bCs/>
          <w:sz w:val="28"/>
          <w:szCs w:val="28"/>
        </w:rPr>
        <w:t>4</w:t>
      </w:r>
      <w:r>
        <w:rPr>
          <w:rFonts w:ascii="Times New Roman" w:hAnsi="Times New Roman" w:eastAsia="宋体"/>
          <w:b/>
          <w:bCs/>
          <w:sz w:val="28"/>
          <w:szCs w:val="28"/>
        </w:rPr>
        <w:t xml:space="preserve">. </w:t>
      </w:r>
      <w:r>
        <w:rPr>
          <w:rFonts w:hint="eastAsia" w:ascii="Times New Roman" w:hAnsi="Times New Roman" w:eastAsia="宋体"/>
          <w:b/>
          <w:bCs/>
          <w:sz w:val="28"/>
          <w:szCs w:val="28"/>
        </w:rPr>
        <w:t>主要技术内容</w:t>
      </w:r>
    </w:p>
    <w:p w14:paraId="2DA2529B">
      <w:pPr>
        <w:ind w:firstLine="562" w:firstLineChars="200"/>
        <w:rPr>
          <w:rFonts w:ascii="Times New Roman" w:hAnsi="Times New Roman" w:eastAsia="宋体"/>
          <w:b/>
          <w:bCs/>
          <w:sz w:val="28"/>
          <w:szCs w:val="28"/>
        </w:rPr>
      </w:pPr>
      <w:r>
        <w:rPr>
          <w:rFonts w:hint="eastAsia" w:ascii="Times New Roman" w:hAnsi="Times New Roman" w:eastAsia="宋体"/>
          <w:b/>
          <w:bCs/>
          <w:sz w:val="28"/>
          <w:szCs w:val="28"/>
        </w:rPr>
        <w:t>4.1主要仪器、试剂配制</w:t>
      </w:r>
    </w:p>
    <w:p w14:paraId="3FA8E475">
      <w:pPr>
        <w:ind w:firstLine="562" w:firstLineChars="200"/>
        <w:rPr>
          <w:rFonts w:ascii="Times New Roman" w:hAnsi="Times New Roman" w:eastAsia="宋体"/>
          <w:b/>
          <w:bCs/>
          <w:sz w:val="28"/>
          <w:szCs w:val="28"/>
        </w:rPr>
      </w:pPr>
      <w:r>
        <w:rPr>
          <w:rFonts w:hint="eastAsia" w:ascii="Times New Roman" w:hAnsi="Times New Roman" w:eastAsia="宋体"/>
          <w:b/>
          <w:bCs/>
          <w:sz w:val="28"/>
          <w:szCs w:val="28"/>
        </w:rPr>
        <w:t>4.2 外周血样品的采集、保存和运输</w:t>
      </w:r>
    </w:p>
    <w:p w14:paraId="1E324ECE">
      <w:pPr>
        <w:rPr>
          <w:rFonts w:ascii="Times New Roman" w:hAnsi="Times New Roman" w:eastAsia="宋体"/>
          <w:sz w:val="28"/>
          <w:szCs w:val="28"/>
        </w:rPr>
      </w:pPr>
      <w:r>
        <w:rPr>
          <w:rFonts w:hint="eastAsia" w:ascii="Times New Roman" w:hAnsi="Times New Roman" w:eastAsia="宋体"/>
          <w:b/>
          <w:bCs/>
          <w:sz w:val="28"/>
          <w:szCs w:val="28"/>
        </w:rPr>
        <w:t xml:space="preserve">    4.3</w:t>
      </w:r>
      <w:r>
        <w:rPr>
          <w:rFonts w:ascii="Times New Roman" w:hAnsi="Times New Roman" w:eastAsia="宋体"/>
          <w:b/>
          <w:bCs/>
          <w:sz w:val="28"/>
          <w:szCs w:val="28"/>
        </w:rPr>
        <w:t xml:space="preserve"> </w:t>
      </w:r>
      <w:r>
        <w:rPr>
          <w:rFonts w:hint="eastAsia" w:ascii="Times New Roman" w:hAnsi="Times New Roman" w:eastAsia="宋体" w:cs="Times New Roman"/>
          <w:b/>
          <w:bCs/>
          <w:color w:val="000000"/>
          <w:kern w:val="0"/>
          <w:sz w:val="28"/>
          <w:szCs w:val="28"/>
        </w:rPr>
        <w:t>照射条件和微量全血培养</w:t>
      </w:r>
    </w:p>
    <w:p w14:paraId="41058720">
      <w:pPr>
        <w:ind w:firstLine="562" w:firstLineChars="200"/>
        <w:rPr>
          <w:rFonts w:ascii="Times New Roman" w:hAnsi="Times New Roman" w:eastAsia="宋体"/>
          <w:sz w:val="28"/>
          <w:szCs w:val="28"/>
        </w:rPr>
      </w:pPr>
      <w:r>
        <w:rPr>
          <w:rFonts w:hint="eastAsia" w:ascii="Times New Roman" w:hAnsi="Times New Roman" w:eastAsia="宋体"/>
          <w:b/>
          <w:bCs/>
          <w:sz w:val="28"/>
          <w:szCs w:val="28"/>
        </w:rPr>
        <w:t>4.4</w:t>
      </w:r>
      <w:r>
        <w:rPr>
          <w:rFonts w:ascii="Times New Roman" w:hAnsi="Times New Roman" w:eastAsia="宋体"/>
          <w:b/>
          <w:bCs/>
          <w:sz w:val="28"/>
          <w:szCs w:val="28"/>
        </w:rPr>
        <w:t xml:space="preserve"> </w:t>
      </w:r>
      <w:r>
        <w:rPr>
          <w:rFonts w:hint="eastAsia" w:ascii="Times New Roman" w:hAnsi="Times New Roman" w:eastAsia="宋体" w:cs="Times New Roman"/>
          <w:b/>
          <w:bCs/>
          <w:color w:val="000000"/>
          <w:kern w:val="0"/>
          <w:sz w:val="28"/>
          <w:szCs w:val="28"/>
        </w:rPr>
        <w:t>染色体标本的制备</w:t>
      </w:r>
    </w:p>
    <w:p w14:paraId="306A742F">
      <w:pPr>
        <w:rPr>
          <w:rFonts w:ascii="Times New Roman" w:hAnsi="Times New Roman" w:eastAsia="宋体" w:cs="Times New Roman"/>
          <w:color w:val="000000"/>
          <w:kern w:val="0"/>
          <w:sz w:val="28"/>
          <w:szCs w:val="28"/>
        </w:rPr>
      </w:pPr>
      <w:r>
        <w:rPr>
          <w:rFonts w:hint="eastAsia" w:ascii="Times New Roman" w:hAnsi="Times New Roman" w:eastAsia="宋体" w:cs="Times New Roman"/>
          <w:b/>
          <w:bCs/>
          <w:color w:val="000000"/>
          <w:kern w:val="0"/>
          <w:sz w:val="28"/>
          <w:szCs w:val="28"/>
        </w:rPr>
        <w:t xml:space="preserve">    4.5双着丝粒染色体半自动分析</w:t>
      </w:r>
    </w:p>
    <w:p w14:paraId="6AEEC318">
      <w:pPr>
        <w:rPr>
          <w:rFonts w:ascii="Times New Roman" w:hAnsi="Times New Roman" w:eastAsia="宋体" w:cs="Times New Roman"/>
          <w:b/>
          <w:bCs/>
          <w:color w:val="000000"/>
          <w:kern w:val="0"/>
          <w:sz w:val="28"/>
          <w:szCs w:val="28"/>
        </w:rPr>
      </w:pPr>
      <w:r>
        <w:rPr>
          <w:rFonts w:hint="eastAsia" w:ascii="Times New Roman" w:hAnsi="Times New Roman" w:eastAsia="宋体" w:cs="Times New Roman"/>
          <w:b/>
          <w:bCs/>
          <w:color w:val="000000"/>
          <w:kern w:val="0"/>
          <w:sz w:val="28"/>
          <w:szCs w:val="28"/>
        </w:rPr>
        <w:t xml:space="preserve">    4.6剂量-效应曲线的拟合</w:t>
      </w:r>
    </w:p>
    <w:p w14:paraId="57031323">
      <w:pPr>
        <w:rPr>
          <w:rFonts w:ascii="Times New Roman"/>
          <w:sz w:val="28"/>
          <w:szCs w:val="28"/>
        </w:rPr>
      </w:pPr>
      <w:r>
        <w:rPr>
          <w:rFonts w:hint="eastAsia" w:ascii="Times New Roman" w:hAnsi="Times New Roman" w:eastAsia="宋体" w:cs="Times New Roman"/>
          <w:b/>
          <w:bCs/>
          <w:color w:val="000000"/>
          <w:kern w:val="0"/>
          <w:sz w:val="28"/>
          <w:szCs w:val="28"/>
        </w:rPr>
        <w:t xml:space="preserve">    4.7估算剂量</w:t>
      </w:r>
    </w:p>
    <w:p w14:paraId="6ECD8497">
      <w:pPr>
        <w:widowControl/>
        <w:shd w:val="clear" w:color="auto" w:fill="FFFFFF"/>
        <w:rPr>
          <w:rFonts w:ascii="Times New Roman"/>
          <w:sz w:val="28"/>
          <w:szCs w:val="28"/>
        </w:rPr>
      </w:pPr>
      <w:r>
        <w:rPr>
          <w:rFonts w:hint="eastAsia" w:ascii="Times New Roman"/>
          <w:sz w:val="28"/>
          <w:szCs w:val="28"/>
        </w:rPr>
        <w:t xml:space="preserve">    4.8</w:t>
      </w:r>
      <w:r>
        <w:rPr>
          <w:rFonts w:hint="eastAsia" w:ascii="Times New Roman"/>
          <w:b/>
          <w:bCs/>
          <w:sz w:val="28"/>
          <w:szCs w:val="28"/>
        </w:rPr>
        <w:t>质量控制</w:t>
      </w:r>
    </w:p>
    <w:p w14:paraId="2DDD0FB8">
      <w:pPr>
        <w:widowControl/>
        <w:shd w:val="clear" w:color="auto" w:fill="FFFFFF"/>
        <w:rPr>
          <w:rFonts w:ascii="Times New Roman"/>
          <w:sz w:val="28"/>
          <w:szCs w:val="28"/>
        </w:rPr>
      </w:pPr>
      <w:bookmarkStart w:id="0" w:name="_Toc77574353"/>
      <w:bookmarkStart w:id="1" w:name="_Toc77020832"/>
      <w:bookmarkStart w:id="2" w:name="_Toc76762523"/>
      <w:bookmarkStart w:id="3" w:name="_Toc86162233"/>
      <w:bookmarkStart w:id="4" w:name="_Toc76241494"/>
      <w:bookmarkStart w:id="5" w:name="_Toc86162216"/>
      <w:bookmarkStart w:id="6" w:name="_Toc76211776"/>
      <w:bookmarkStart w:id="7" w:name="_Toc77020197"/>
      <w:bookmarkStart w:id="8" w:name="_Toc87375128"/>
      <w:bookmarkStart w:id="9" w:name="_Toc77574381"/>
      <w:bookmarkStart w:id="10" w:name="_Toc76210014"/>
      <w:bookmarkStart w:id="11" w:name="_Toc87788483"/>
      <w:r>
        <w:rPr>
          <w:rFonts w:hint="eastAsia" w:ascii="Times New Roman"/>
          <w:sz w:val="28"/>
          <w:szCs w:val="28"/>
        </w:rPr>
        <w:t xml:space="preserve">    </w:t>
      </w:r>
      <w:r>
        <w:rPr>
          <w:rFonts w:hint="eastAsia" w:ascii="Times New Roman"/>
          <w:b/>
          <w:bCs/>
          <w:sz w:val="28"/>
          <w:szCs w:val="28"/>
        </w:rPr>
        <w:t>4.9 估算剂量的原则</w:t>
      </w:r>
      <w:bookmarkEnd w:id="0"/>
      <w:bookmarkEnd w:id="1"/>
      <w:bookmarkEnd w:id="2"/>
      <w:bookmarkEnd w:id="3"/>
      <w:bookmarkEnd w:id="4"/>
      <w:bookmarkEnd w:id="5"/>
      <w:bookmarkEnd w:id="6"/>
      <w:bookmarkEnd w:id="7"/>
      <w:bookmarkEnd w:id="8"/>
      <w:bookmarkEnd w:id="9"/>
      <w:bookmarkEnd w:id="10"/>
      <w:bookmarkEnd w:id="11"/>
    </w:p>
    <w:p w14:paraId="19599C89">
      <w:pPr>
        <w:ind w:firstLine="562" w:firstLineChars="200"/>
        <w:rPr>
          <w:rFonts w:ascii="Times New Roman" w:hAnsi="Times New Roman" w:eastAsia="宋体"/>
          <w:sz w:val="28"/>
          <w:szCs w:val="28"/>
        </w:rPr>
      </w:pPr>
      <w:r>
        <w:rPr>
          <w:rFonts w:hint="eastAsia" w:ascii="Times New Roman" w:hAnsi="Times New Roman" w:eastAsia="宋体"/>
          <w:b/>
          <w:bCs/>
          <w:sz w:val="28"/>
          <w:szCs w:val="28"/>
        </w:rPr>
        <w:t>附录</w:t>
      </w:r>
    </w:p>
    <w:p w14:paraId="53D4971D">
      <w:pPr>
        <w:ind w:firstLine="560" w:firstLineChars="200"/>
        <w:rPr>
          <w:rFonts w:ascii="Times New Roman"/>
          <w:sz w:val="28"/>
          <w:szCs w:val="28"/>
        </w:rPr>
      </w:pPr>
      <w:r>
        <w:rPr>
          <w:rFonts w:ascii="Times New Roman" w:hAnsi="Times New Roman" w:eastAsia="宋体"/>
          <w:sz w:val="28"/>
          <w:szCs w:val="28"/>
        </w:rPr>
        <w:t>A</w:t>
      </w:r>
      <w:r>
        <w:rPr>
          <w:rFonts w:hint="eastAsia" w:ascii="Times New Roman" w:hAnsi="Times New Roman" w:eastAsia="宋体"/>
          <w:sz w:val="28"/>
          <w:szCs w:val="28"/>
        </w:rPr>
        <w:t>（规范性附录）：</w:t>
      </w:r>
      <w:r>
        <w:rPr>
          <w:rFonts w:hint="eastAsia" w:ascii="Times New Roman"/>
          <w:sz w:val="28"/>
          <w:szCs w:val="28"/>
        </w:rPr>
        <w:t>主要仪器设备和试剂配制</w:t>
      </w:r>
    </w:p>
    <w:p w14:paraId="02E60DD0">
      <w:pPr>
        <w:ind w:firstLine="560" w:firstLineChars="200"/>
        <w:rPr>
          <w:sz w:val="28"/>
          <w:szCs w:val="28"/>
        </w:rPr>
      </w:pPr>
      <w:r>
        <w:rPr>
          <w:rFonts w:ascii="Times New Roman" w:hAnsi="Times New Roman" w:eastAsia="宋体"/>
          <w:sz w:val="28"/>
          <w:szCs w:val="28"/>
        </w:rPr>
        <w:t>B</w:t>
      </w:r>
      <w:r>
        <w:rPr>
          <w:rFonts w:hint="eastAsia" w:ascii="Times New Roman" w:hAnsi="Times New Roman" w:eastAsia="宋体"/>
          <w:sz w:val="28"/>
          <w:szCs w:val="28"/>
        </w:rPr>
        <w:t>（资料性附录）：</w:t>
      </w:r>
      <w:r>
        <w:rPr>
          <w:rFonts w:hint="eastAsia"/>
          <w:sz w:val="28"/>
          <w:szCs w:val="28"/>
        </w:rPr>
        <w:t>生物剂量估算检测报告单</w:t>
      </w:r>
    </w:p>
    <w:p w14:paraId="2B1A7602">
      <w:pPr>
        <w:ind w:firstLine="560" w:firstLineChars="200"/>
        <w:rPr>
          <w:sz w:val="28"/>
          <w:szCs w:val="28"/>
        </w:rPr>
      </w:pPr>
      <w:r>
        <w:rPr>
          <w:rFonts w:ascii="Times New Roman" w:hAnsi="Times New Roman" w:cs="Times New Roman"/>
          <w:sz w:val="28"/>
          <w:szCs w:val="28"/>
        </w:rPr>
        <w:t>C</w:t>
      </w:r>
      <w:r>
        <w:rPr>
          <w:rFonts w:hint="eastAsia" w:ascii="Times New Roman" w:hAnsi="Times New Roman" w:eastAsia="宋体"/>
          <w:sz w:val="28"/>
          <w:szCs w:val="28"/>
        </w:rPr>
        <w:t>（资料性附录）：</w:t>
      </w:r>
      <w:r>
        <w:rPr>
          <w:rFonts w:hint="eastAsia"/>
          <w:sz w:val="28"/>
          <w:szCs w:val="28"/>
        </w:rPr>
        <w:t>放射事故受照人员生物剂量估算应用示例</w:t>
      </w:r>
    </w:p>
    <w:p w14:paraId="075FA154">
      <w:pPr>
        <w:ind w:firstLine="560" w:firstLineChars="200"/>
        <w:rPr>
          <w:rFonts w:hint="eastAsia"/>
          <w:sz w:val="28"/>
          <w:szCs w:val="28"/>
        </w:rPr>
      </w:pPr>
      <w:r>
        <w:rPr>
          <w:rFonts w:hint="eastAsia" w:ascii="Times New Roman" w:hAnsi="Times New Roman" w:cs="Times New Roman"/>
          <w:sz w:val="28"/>
          <w:szCs w:val="28"/>
        </w:rPr>
        <w:t>D</w:t>
      </w:r>
      <w:r>
        <w:rPr>
          <w:rFonts w:hint="eastAsia" w:ascii="Times New Roman" w:hAnsi="Times New Roman" w:eastAsia="宋体"/>
          <w:sz w:val="28"/>
          <w:szCs w:val="28"/>
        </w:rPr>
        <w:t>（资料性附录）：</w:t>
      </w:r>
      <w:r>
        <w:rPr>
          <w:rFonts w:hint="eastAsia"/>
          <w:sz w:val="28"/>
          <w:szCs w:val="28"/>
          <w:lang w:val="en-US" w:eastAsia="zh-CN"/>
        </w:rPr>
        <w:t>复杂外照射场景</w:t>
      </w:r>
      <w:r>
        <w:rPr>
          <w:rFonts w:hint="eastAsia"/>
          <w:sz w:val="28"/>
          <w:szCs w:val="28"/>
        </w:rPr>
        <w:t>的生物剂量估算</w:t>
      </w:r>
    </w:p>
    <w:p w14:paraId="02812120">
      <w:pPr>
        <w:widowControl/>
        <w:numPr>
          <w:ilvl w:val="0"/>
          <w:numId w:val="2"/>
        </w:numPr>
        <w:shd w:val="clear" w:color="auto" w:fill="FFFFFF"/>
        <w:ind w:left="420" w:leftChars="200"/>
        <w:rPr>
          <w:rFonts w:ascii="仿宋_GB2312" w:hAnsi="仿宋_GB2312" w:eastAsia="仿宋_GB2312" w:cs="仿宋_GB2312"/>
          <w:b/>
          <w:bCs/>
          <w:kern w:val="0"/>
          <w:sz w:val="32"/>
          <w:szCs w:val="32"/>
          <w:shd w:val="clear" w:color="auto" w:fill="FFFFFF"/>
          <w:lang w:bidi="ar"/>
        </w:rPr>
      </w:pPr>
      <w:r>
        <w:rPr>
          <w:rFonts w:hint="eastAsia" w:ascii="仿宋_GB2312" w:hAnsi="仿宋_GB2312" w:eastAsia="仿宋_GB2312" w:cs="仿宋_GB2312"/>
          <w:b/>
          <w:bCs/>
          <w:kern w:val="0"/>
          <w:sz w:val="32"/>
          <w:szCs w:val="32"/>
          <w:shd w:val="clear" w:color="auto" w:fill="FFFFFF"/>
          <w:lang w:bidi="ar"/>
        </w:rPr>
        <w:t>专利情况说明</w:t>
      </w:r>
    </w:p>
    <w:p w14:paraId="08A39E84">
      <w:pPr>
        <w:widowControl/>
        <w:shd w:val="clear" w:color="auto" w:fill="FFFFFF"/>
        <w:ind w:left="420" w:leftChars="200"/>
        <w:rPr>
          <w:rFonts w:ascii="仿宋_GB2312" w:hAnsi="仿宋_GB2312" w:eastAsia="仿宋_GB2312" w:cs="仿宋_GB2312"/>
          <w:kern w:val="0"/>
          <w:sz w:val="32"/>
          <w:szCs w:val="32"/>
          <w:shd w:val="clear" w:color="auto" w:fill="FFFFFF"/>
          <w:lang w:bidi="ar"/>
        </w:rPr>
      </w:pPr>
      <w:r>
        <w:rPr>
          <w:rFonts w:hint="eastAsia" w:ascii="Times New Roman" w:hAnsi="Times New Roman" w:eastAsia="宋体"/>
          <w:sz w:val="28"/>
          <w:szCs w:val="28"/>
        </w:rPr>
        <w:t xml:space="preserve"> </w:t>
      </w:r>
      <w:r>
        <w:rPr>
          <w:rFonts w:ascii="Times New Roman" w:hAnsi="Times New Roman" w:eastAsia="宋体"/>
          <w:sz w:val="28"/>
          <w:szCs w:val="28"/>
        </w:rPr>
        <w:t>本标准</w:t>
      </w:r>
      <w:r>
        <w:rPr>
          <w:rFonts w:hint="eastAsia" w:ascii="Times New Roman" w:hAnsi="Times New Roman" w:eastAsia="宋体"/>
          <w:sz w:val="28"/>
          <w:szCs w:val="28"/>
        </w:rPr>
        <w:t>草案不涉及相关专利</w:t>
      </w:r>
      <w:r>
        <w:rPr>
          <w:rFonts w:ascii="Times New Roman" w:hAnsi="Times New Roman" w:eastAsia="宋体"/>
          <w:sz w:val="28"/>
          <w:szCs w:val="28"/>
        </w:rPr>
        <w:t>。</w:t>
      </w:r>
    </w:p>
    <w:p w14:paraId="57341E93">
      <w:pPr>
        <w:widowControl/>
        <w:numPr>
          <w:ilvl w:val="0"/>
          <w:numId w:val="3"/>
        </w:numPr>
        <w:shd w:val="clear" w:color="auto" w:fill="FFFFFF"/>
        <w:ind w:firstLine="643" w:firstLineChars="200"/>
        <w:rPr>
          <w:rFonts w:ascii="仿宋_GB2312" w:hAnsi="仿宋_GB2312" w:eastAsia="仿宋_GB2312" w:cs="仿宋_GB2312"/>
          <w:kern w:val="0"/>
          <w:sz w:val="32"/>
          <w:szCs w:val="32"/>
          <w:shd w:val="clear" w:color="auto" w:fill="FFFFFF"/>
          <w:lang w:bidi="ar"/>
        </w:rPr>
      </w:pPr>
      <w:r>
        <w:rPr>
          <w:rFonts w:hint="eastAsia" w:ascii="仿宋_GB2312" w:hAnsi="仿宋_GB2312" w:eastAsia="仿宋_GB2312" w:cs="仿宋_GB2312"/>
          <w:b/>
          <w:bCs/>
          <w:kern w:val="0"/>
          <w:sz w:val="32"/>
          <w:szCs w:val="32"/>
          <w:shd w:val="clear" w:color="auto" w:fill="FFFFFF"/>
          <w:lang w:bidi="ar"/>
        </w:rPr>
        <w:t>主要试验、验证及试行结果</w:t>
      </w:r>
    </w:p>
    <w:p w14:paraId="3E58C8C1">
      <w:pPr>
        <w:widowControl/>
        <w:shd w:val="clear" w:color="auto" w:fill="FFFFFF"/>
        <w:ind w:firstLine="640"/>
        <w:rPr>
          <w:rFonts w:ascii="仿宋_GB2312" w:hAnsi="仿宋_GB2312" w:eastAsia="仿宋_GB2312" w:cs="仿宋_GB2312"/>
          <w:kern w:val="0"/>
          <w:sz w:val="32"/>
          <w:szCs w:val="32"/>
          <w:shd w:val="clear" w:color="auto" w:fill="FFFFFF"/>
          <w:lang w:bidi="ar"/>
        </w:rPr>
      </w:pPr>
      <w:r>
        <w:rPr>
          <w:rFonts w:hint="eastAsia" w:ascii="Times New Roman" w:hAnsi="Times New Roman" w:eastAsia="宋体" w:cs="仿宋_GB2312"/>
          <w:kern w:val="0"/>
          <w:sz w:val="28"/>
          <w:szCs w:val="28"/>
          <w:shd w:val="clear" w:color="auto" w:fill="FFFFFF"/>
          <w:lang w:bidi="ar"/>
        </w:rPr>
        <w:t>本标准草案不涉及验证。</w:t>
      </w:r>
    </w:p>
    <w:p w14:paraId="5B8E6FC1">
      <w:pPr>
        <w:widowControl/>
        <w:numPr>
          <w:ilvl w:val="0"/>
          <w:numId w:val="3"/>
        </w:numPr>
        <w:shd w:val="clear" w:color="auto" w:fill="FFFFFF"/>
        <w:ind w:firstLine="643" w:firstLineChars="200"/>
        <w:rPr>
          <w:rFonts w:ascii="仿宋_GB2312" w:hAnsi="仿宋_GB2312" w:eastAsia="仿宋_GB2312" w:cs="仿宋_GB2312"/>
          <w:kern w:val="0"/>
          <w:sz w:val="32"/>
          <w:szCs w:val="32"/>
          <w:shd w:val="clear" w:color="auto" w:fill="FFFFFF"/>
          <w:lang w:bidi="ar"/>
        </w:rPr>
      </w:pPr>
      <w:r>
        <w:rPr>
          <w:rFonts w:hint="eastAsia" w:ascii="仿宋_GB2312" w:hAnsi="仿宋_GB2312" w:eastAsia="仿宋_GB2312" w:cs="仿宋_GB2312"/>
          <w:b/>
          <w:bCs/>
          <w:kern w:val="0"/>
          <w:sz w:val="32"/>
          <w:szCs w:val="32"/>
          <w:shd w:val="clear" w:color="auto" w:fill="FFFFFF"/>
          <w:lang w:bidi="ar"/>
        </w:rPr>
        <w:t>与相关标准的关系分析</w:t>
      </w:r>
    </w:p>
    <w:p w14:paraId="1ED76A77">
      <w:pPr>
        <w:widowControl/>
        <w:shd w:val="clear" w:color="auto" w:fill="FFFFFF"/>
        <w:ind w:firstLine="560" w:firstLineChars="200"/>
        <w:rPr>
          <w:rFonts w:ascii="Times New Roman" w:hAnsi="Times New Roman" w:eastAsia="宋体"/>
          <w:sz w:val="28"/>
          <w:szCs w:val="28"/>
        </w:rPr>
      </w:pPr>
      <w:r>
        <w:rPr>
          <w:rFonts w:ascii="Times New Roman" w:hAnsi="Times New Roman" w:eastAsia="宋体"/>
          <w:sz w:val="28"/>
          <w:szCs w:val="28"/>
        </w:rPr>
        <w:t>目前国内估算急性</w:t>
      </w:r>
      <w:r>
        <w:rPr>
          <w:rFonts w:hint="eastAsia" w:ascii="Times New Roman" w:hAnsi="Times New Roman" w:eastAsia="宋体"/>
          <w:sz w:val="28"/>
          <w:szCs w:val="28"/>
          <w:lang w:val="en-US" w:eastAsia="zh-CN"/>
        </w:rPr>
        <w:t>外</w:t>
      </w:r>
      <w:r>
        <w:rPr>
          <w:rFonts w:ascii="Times New Roman" w:hAnsi="Times New Roman" w:eastAsia="宋体"/>
          <w:sz w:val="28"/>
          <w:szCs w:val="28"/>
        </w:rPr>
        <w:t>照射生物剂量的技术标准</w:t>
      </w:r>
      <w:r>
        <w:rPr>
          <w:rFonts w:hint="eastAsia" w:ascii="Times New Roman" w:hAnsi="Times New Roman" w:eastAsia="宋体"/>
          <w:sz w:val="28"/>
          <w:szCs w:val="28"/>
        </w:rPr>
        <w:t>主要有</w:t>
      </w:r>
      <w:r>
        <w:rPr>
          <w:rFonts w:ascii="Times New Roman" w:hAnsi="Times New Roman" w:eastAsia="宋体"/>
          <w:sz w:val="28"/>
          <w:szCs w:val="28"/>
        </w:rPr>
        <w:t>《GB/T 28236-2011 染色体畸变估算生物剂量方法》</w:t>
      </w:r>
      <w:r>
        <w:rPr>
          <w:rFonts w:hint="eastAsia" w:ascii="Times New Roman" w:hAnsi="Times New Roman" w:eastAsia="宋体"/>
          <w:sz w:val="28"/>
          <w:szCs w:val="28"/>
        </w:rPr>
        <w:t>、</w:t>
      </w:r>
      <w:r>
        <w:rPr>
          <w:rFonts w:ascii="Times New Roman" w:hAnsi="Times New Roman" w:eastAsia="宋体"/>
          <w:sz w:val="28"/>
          <w:szCs w:val="28"/>
        </w:rPr>
        <w:t>《WS</w:t>
      </w:r>
      <w:r>
        <w:rPr>
          <w:rFonts w:hint="eastAsia" w:ascii="Times New Roman" w:hAnsi="Times New Roman" w:eastAsia="宋体"/>
          <w:sz w:val="28"/>
          <w:szCs w:val="28"/>
        </w:rPr>
        <w:t>/</w:t>
      </w:r>
      <w:r>
        <w:rPr>
          <w:rFonts w:ascii="Times New Roman" w:hAnsi="Times New Roman" w:eastAsia="宋体"/>
          <w:sz w:val="28"/>
          <w:szCs w:val="28"/>
        </w:rPr>
        <w:t>T 615-2018 辐射生物剂量估算 早熟染色体凝集环分析法》</w:t>
      </w:r>
      <w:r>
        <w:rPr>
          <w:rFonts w:hint="eastAsia" w:ascii="Times New Roman" w:hAnsi="Times New Roman" w:eastAsia="宋体"/>
          <w:sz w:val="28"/>
          <w:szCs w:val="28"/>
        </w:rPr>
        <w:t>和</w:t>
      </w:r>
      <w:r>
        <w:rPr>
          <w:rFonts w:ascii="Times New Roman" w:hAnsi="Times New Roman" w:eastAsia="宋体"/>
          <w:sz w:val="28"/>
          <w:szCs w:val="28"/>
        </w:rPr>
        <w:t>《</w:t>
      </w:r>
      <w:r>
        <w:rPr>
          <w:rFonts w:hint="eastAsia" w:ascii="Times New Roman" w:hAnsi="Times New Roman" w:eastAsia="宋体"/>
          <w:sz w:val="28"/>
          <w:szCs w:val="28"/>
        </w:rPr>
        <w:t>GBZ</w:t>
      </w:r>
      <w:r>
        <w:rPr>
          <w:rFonts w:ascii="Times New Roman" w:hAnsi="Times New Roman" w:eastAsia="宋体"/>
          <w:sz w:val="28"/>
          <w:szCs w:val="28"/>
        </w:rPr>
        <w:t xml:space="preserve">/T </w:t>
      </w:r>
      <w:r>
        <w:rPr>
          <w:rFonts w:hint="eastAsia" w:ascii="Times New Roman" w:hAnsi="Times New Roman" w:eastAsia="宋体"/>
          <w:sz w:val="28"/>
          <w:szCs w:val="28"/>
        </w:rPr>
        <w:t>328</w:t>
      </w:r>
      <w:r>
        <w:rPr>
          <w:rFonts w:ascii="Times New Roman" w:hAnsi="Times New Roman" w:eastAsia="宋体"/>
          <w:sz w:val="28"/>
          <w:szCs w:val="28"/>
        </w:rPr>
        <w:t>-</w:t>
      </w:r>
      <w:r>
        <w:rPr>
          <w:rFonts w:hint="eastAsia" w:ascii="Times New Roman" w:hAnsi="Times New Roman" w:eastAsia="宋体"/>
          <w:sz w:val="28"/>
          <w:szCs w:val="28"/>
        </w:rPr>
        <w:t>2023</w:t>
      </w:r>
      <w:r>
        <w:rPr>
          <w:rFonts w:ascii="Times New Roman" w:hAnsi="Times New Roman" w:eastAsia="宋体"/>
          <w:sz w:val="28"/>
          <w:szCs w:val="28"/>
        </w:rPr>
        <w:t xml:space="preserve"> </w:t>
      </w:r>
      <w:r>
        <w:rPr>
          <w:rFonts w:hint="eastAsia" w:ascii="Times New Roman" w:hAnsi="Times New Roman" w:eastAsia="宋体"/>
          <w:sz w:val="28"/>
          <w:szCs w:val="28"/>
        </w:rPr>
        <w:t>放射工作人员职业健康检查外周血</w:t>
      </w:r>
      <w:r>
        <w:rPr>
          <w:rFonts w:ascii="Times New Roman" w:hAnsi="Times New Roman" w:eastAsia="宋体"/>
          <w:sz w:val="28"/>
          <w:szCs w:val="28"/>
        </w:rPr>
        <w:t>淋巴细胞微核</w:t>
      </w:r>
      <w:r>
        <w:rPr>
          <w:rFonts w:hint="eastAsia" w:ascii="Times New Roman" w:hAnsi="Times New Roman" w:eastAsia="宋体"/>
          <w:sz w:val="28"/>
          <w:szCs w:val="28"/>
        </w:rPr>
        <w:t>检测方法与受照剂量</w:t>
      </w:r>
      <w:r>
        <w:rPr>
          <w:rFonts w:ascii="Times New Roman" w:hAnsi="Times New Roman" w:eastAsia="宋体"/>
          <w:sz w:val="28"/>
          <w:szCs w:val="28"/>
        </w:rPr>
        <w:t>估算</w:t>
      </w:r>
      <w:r>
        <w:rPr>
          <w:rFonts w:hint="eastAsia" w:ascii="Times New Roman" w:hAnsi="Times New Roman" w:eastAsia="宋体"/>
          <w:sz w:val="28"/>
          <w:szCs w:val="28"/>
        </w:rPr>
        <w:t>标准</w:t>
      </w:r>
      <w:r>
        <w:rPr>
          <w:rFonts w:ascii="Times New Roman" w:hAnsi="Times New Roman" w:eastAsia="宋体"/>
          <w:sz w:val="28"/>
          <w:szCs w:val="28"/>
        </w:rPr>
        <w:t>》，分别是人工分析dic+r、PCC-R和微核指标估算生物剂量，存在的突出问题是均未包含</w:t>
      </w:r>
      <w:r>
        <w:rPr>
          <w:rFonts w:hint="eastAsia" w:ascii="Times New Roman" w:hAnsi="Times New Roman" w:eastAsia="宋体"/>
          <w:sz w:val="28"/>
          <w:szCs w:val="28"/>
        </w:rPr>
        <w:t>半或</w:t>
      </w:r>
      <w:r>
        <w:rPr>
          <w:rFonts w:ascii="Times New Roman" w:hAnsi="Times New Roman" w:eastAsia="宋体"/>
          <w:sz w:val="28"/>
          <w:szCs w:val="28"/>
        </w:rPr>
        <w:t>自动分析的内容</w:t>
      </w:r>
      <w:r>
        <w:rPr>
          <w:rFonts w:hint="eastAsia" w:ascii="Times New Roman" w:hAnsi="Times New Roman" w:eastAsia="宋体"/>
          <w:sz w:val="28"/>
          <w:szCs w:val="28"/>
        </w:rPr>
        <w:t>，均需要有丰富经验的专业技术人员识别不同的畸变指标，估算剂量的效率低下。此外，</w:t>
      </w:r>
      <w:r>
        <w:rPr>
          <w:rFonts w:ascii="Times New Roman" w:hAnsi="Times New Roman" w:eastAsia="宋体"/>
          <w:sz w:val="28"/>
          <w:szCs w:val="28"/>
        </w:rPr>
        <w:t>微核指标还存在细胞培养时间长（72h）、事故后估算剂量响应时间短等缺点，而PCC-R指标对小于5Gy照射剂量估算剂量偏差大等问题。</w:t>
      </w:r>
    </w:p>
    <w:p w14:paraId="31010475">
      <w:pPr>
        <w:widowControl/>
        <w:shd w:val="clear" w:color="auto" w:fill="FFFFFF"/>
        <w:rPr>
          <w:rFonts w:ascii="仿宋_GB2312" w:hAnsi="仿宋_GB2312" w:eastAsia="仿宋_GB2312" w:cs="仿宋_GB2312"/>
          <w:kern w:val="0"/>
          <w:sz w:val="32"/>
          <w:szCs w:val="32"/>
          <w:shd w:val="clear" w:color="auto" w:fill="FFFFFF"/>
          <w:lang w:bidi="ar"/>
        </w:rPr>
      </w:pPr>
      <w:r>
        <w:rPr>
          <w:rFonts w:hint="eastAsia" w:ascii="Times New Roman" w:hAnsi="Times New Roman" w:eastAsia="宋体"/>
          <w:sz w:val="28"/>
          <w:szCs w:val="28"/>
        </w:rPr>
        <w:t xml:space="preserve">    </w:t>
      </w:r>
      <w:r>
        <w:rPr>
          <w:rFonts w:ascii="Times New Roman" w:hAnsi="Times New Roman" w:eastAsia="宋体"/>
          <w:sz w:val="28"/>
          <w:szCs w:val="28"/>
        </w:rPr>
        <w:t>利用</w:t>
      </w:r>
      <w:r>
        <w:rPr>
          <w:rFonts w:hint="eastAsia" w:ascii="Times New Roman" w:hAnsi="Times New Roman" w:eastAsia="宋体"/>
          <w:sz w:val="28"/>
          <w:szCs w:val="28"/>
        </w:rPr>
        <w:t>目前</w:t>
      </w:r>
      <w:r>
        <w:rPr>
          <w:rFonts w:ascii="Times New Roman" w:hAnsi="Times New Roman" w:eastAsia="宋体"/>
          <w:sz w:val="28"/>
          <w:szCs w:val="28"/>
        </w:rPr>
        <w:t>已</w:t>
      </w:r>
      <w:r>
        <w:rPr>
          <w:rFonts w:hint="eastAsia" w:ascii="Times New Roman" w:hAnsi="Times New Roman" w:eastAsia="宋体"/>
          <w:sz w:val="28"/>
          <w:szCs w:val="28"/>
        </w:rPr>
        <w:t>得到广泛推广应用</w:t>
      </w:r>
      <w:r>
        <w:rPr>
          <w:rFonts w:ascii="Times New Roman" w:hAnsi="Times New Roman" w:eastAsia="宋体"/>
          <w:sz w:val="28"/>
          <w:szCs w:val="28"/>
        </w:rPr>
        <w:t>的数字图像自动分析技术平台（如高通量染色体自动扫描系统）自动检测dic只需要20min，而且自动分析只需要人工识别出真阳性的dic并剔除假阳性dic（2min），有经验或经过短期培训的分析者较容易区分出真、假阳性dic，可较为准确估算剂量</w:t>
      </w:r>
      <w:r>
        <w:rPr>
          <w:rFonts w:hint="eastAsia" w:ascii="Times New Roman" w:hAnsi="Times New Roman" w:eastAsia="宋体"/>
          <w:sz w:val="28"/>
          <w:szCs w:val="28"/>
        </w:rPr>
        <w:t>，可将剂量估算效率提高数倍</w:t>
      </w:r>
      <w:r>
        <w:rPr>
          <w:rFonts w:ascii="Times New Roman" w:hAnsi="Times New Roman" w:eastAsia="宋体"/>
          <w:sz w:val="28"/>
          <w:szCs w:val="28"/>
        </w:rPr>
        <w:t>。dic</w:t>
      </w:r>
      <w:r>
        <w:rPr>
          <w:rFonts w:hint="eastAsia" w:ascii="Times New Roman" w:hAnsi="Times New Roman" w:eastAsia="宋体"/>
          <w:sz w:val="28"/>
          <w:szCs w:val="28"/>
        </w:rPr>
        <w:t>半</w:t>
      </w:r>
      <w:r>
        <w:rPr>
          <w:rFonts w:ascii="Times New Roman" w:hAnsi="Times New Roman" w:eastAsia="宋体"/>
          <w:sz w:val="28"/>
          <w:szCs w:val="28"/>
        </w:rPr>
        <w:t>自动分析不但可以大大提高生物剂量估算和人工工作的效率，还更有利于推广应用，而且IAEA和ISO已将该项技术作为权威报告或标准发布实施，而国内尚未有相关标准</w:t>
      </w:r>
      <w:r>
        <w:rPr>
          <w:rFonts w:hint="eastAsia" w:ascii="Times New Roman" w:hAnsi="Times New Roman" w:eastAsia="宋体"/>
          <w:sz w:val="28"/>
          <w:szCs w:val="28"/>
        </w:rPr>
        <w:t>。因此</w:t>
      </w:r>
      <w:r>
        <w:rPr>
          <w:rFonts w:ascii="Times New Roman" w:hAnsi="Times New Roman" w:eastAsia="宋体"/>
          <w:sz w:val="28"/>
          <w:szCs w:val="28"/>
        </w:rPr>
        <w:t>，</w:t>
      </w:r>
      <w:r>
        <w:rPr>
          <w:rFonts w:hint="eastAsia" w:ascii="Times New Roman" w:hAnsi="Times New Roman" w:eastAsia="宋体"/>
          <w:sz w:val="28"/>
          <w:szCs w:val="28"/>
        </w:rPr>
        <w:t>本标准的制定</w:t>
      </w:r>
      <w:r>
        <w:rPr>
          <w:rFonts w:ascii="Times New Roman" w:hAnsi="Times New Roman" w:eastAsia="宋体"/>
          <w:sz w:val="28"/>
          <w:szCs w:val="28"/>
        </w:rPr>
        <w:t>可明显提升我国生物剂量估算的能力与水平，填补国内无</w:t>
      </w:r>
      <w:r>
        <w:rPr>
          <w:rFonts w:hint="eastAsia" w:ascii="Times New Roman" w:hAnsi="Times New Roman" w:eastAsia="宋体"/>
          <w:sz w:val="28"/>
          <w:szCs w:val="28"/>
        </w:rPr>
        <w:t>细胞遗传指标</w:t>
      </w:r>
      <w:r>
        <w:rPr>
          <w:rFonts w:ascii="Times New Roman" w:hAnsi="Times New Roman" w:eastAsia="宋体"/>
          <w:sz w:val="28"/>
          <w:szCs w:val="28"/>
        </w:rPr>
        <w:t>自动分析估算生物剂量相关标准的空白，以</w:t>
      </w:r>
      <w:r>
        <w:rPr>
          <w:rFonts w:hint="eastAsia" w:ascii="Times New Roman" w:hAnsi="Times New Roman" w:eastAsia="宋体"/>
          <w:sz w:val="28"/>
          <w:szCs w:val="28"/>
        </w:rPr>
        <w:t>更好</w:t>
      </w:r>
      <w:r>
        <w:rPr>
          <w:rFonts w:ascii="Times New Roman" w:hAnsi="Times New Roman" w:eastAsia="宋体"/>
          <w:sz w:val="28"/>
          <w:szCs w:val="28"/>
        </w:rPr>
        <w:t>应对发生大规模核与辐射事故受照人员众多时的医学应急响应临床分类诊断的需要。</w:t>
      </w:r>
    </w:p>
    <w:p w14:paraId="1439798E">
      <w:pPr>
        <w:widowControl/>
        <w:numPr>
          <w:ilvl w:val="0"/>
          <w:numId w:val="3"/>
        </w:numPr>
        <w:shd w:val="clear" w:color="auto" w:fill="FFFFFF"/>
        <w:ind w:firstLine="640" w:firstLineChars="200"/>
        <w:rPr>
          <w:rFonts w:ascii="仿宋_GB2312" w:hAnsi="仿宋_GB2312" w:eastAsia="仿宋_GB2312" w:cs="仿宋_GB2312"/>
          <w:kern w:val="0"/>
          <w:sz w:val="32"/>
          <w:szCs w:val="32"/>
          <w:shd w:val="clear" w:color="auto" w:fill="FFFFFF"/>
          <w:lang w:bidi="ar"/>
        </w:rPr>
      </w:pPr>
      <w:r>
        <w:rPr>
          <w:rFonts w:hint="eastAsia" w:ascii="仿宋_GB2312" w:hAnsi="仿宋_GB2312" w:eastAsia="仿宋_GB2312" w:cs="仿宋_GB2312"/>
          <w:kern w:val="0"/>
          <w:sz w:val="32"/>
          <w:szCs w:val="32"/>
          <w:shd w:val="clear" w:color="auto" w:fill="FFFFFF"/>
          <w:lang w:bidi="ar"/>
        </w:rPr>
        <w:t>采用国际标准的程度及水平说明</w:t>
      </w:r>
    </w:p>
    <w:p w14:paraId="1D2E4259">
      <w:pPr>
        <w:widowControl/>
        <w:shd w:val="clear" w:color="auto" w:fill="FFFFFF"/>
        <w:ind w:firstLine="560" w:firstLineChars="200"/>
        <w:rPr>
          <w:rFonts w:ascii="仿宋_GB2312" w:hAnsi="仿宋_GB2312" w:eastAsia="仿宋_GB2312" w:cs="仿宋_GB2312"/>
          <w:kern w:val="0"/>
          <w:sz w:val="32"/>
          <w:szCs w:val="32"/>
          <w:shd w:val="clear" w:color="auto" w:fill="FFFFFF"/>
          <w:lang w:bidi="ar"/>
        </w:rPr>
      </w:pPr>
      <w:r>
        <w:rPr>
          <w:rFonts w:hint="eastAsia" w:ascii="Times New Roman" w:hAnsi="Times New Roman" w:eastAsia="宋体"/>
          <w:sz w:val="28"/>
          <w:szCs w:val="28"/>
        </w:rPr>
        <w:t>本标准通过查阅分析国内外有关标准和以往研究文献资料的基础上，详细研究了IAEA 2011年出版的技术报告、</w:t>
      </w:r>
      <w:r>
        <w:rPr>
          <w:rFonts w:ascii="Times New Roman" w:hAnsi="Times New Roman" w:eastAsia="宋体" w:cs="Times New Roman"/>
          <w:color w:val="000000"/>
          <w:kern w:val="0"/>
          <w:sz w:val="28"/>
          <w:szCs w:val="28"/>
        </w:rPr>
        <w:t xml:space="preserve">ISO </w:t>
      </w:r>
      <w:r>
        <w:rPr>
          <w:rFonts w:hint="eastAsia" w:ascii="Times New Roman" w:hAnsi="Times New Roman" w:eastAsia="宋体" w:cs="Times New Roman"/>
          <w:color w:val="000000"/>
          <w:kern w:val="0"/>
          <w:sz w:val="28"/>
          <w:szCs w:val="28"/>
        </w:rPr>
        <w:t>发布的</w:t>
      </w:r>
      <w:r>
        <w:rPr>
          <w:rFonts w:ascii="Times New Roman" w:hAnsi="Times New Roman" w:eastAsia="宋体" w:cs="Times New Roman"/>
          <w:color w:val="000000"/>
          <w:kern w:val="0"/>
          <w:sz w:val="28"/>
          <w:szCs w:val="28"/>
        </w:rPr>
        <w:t>19238: 20</w:t>
      </w:r>
      <w:r>
        <w:rPr>
          <w:rFonts w:hint="eastAsia" w:ascii="Times New Roman" w:hAnsi="Times New Roman" w:eastAsia="宋体" w:cs="Times New Roman"/>
          <w:color w:val="000000"/>
          <w:kern w:val="0"/>
          <w:sz w:val="28"/>
          <w:szCs w:val="28"/>
        </w:rPr>
        <w:t>23</w:t>
      </w:r>
      <w:r>
        <w:rPr>
          <w:rFonts w:ascii="Times New Roman" w:hAnsi="Times New Roman" w:eastAsia="宋体" w:cs="Times New Roman"/>
          <w:color w:val="000000"/>
          <w:kern w:val="0"/>
          <w:sz w:val="28"/>
          <w:szCs w:val="28"/>
        </w:rPr>
        <w:t>(en)</w:t>
      </w:r>
      <w:r>
        <w:rPr>
          <w:rFonts w:hint="eastAsia" w:ascii="Times New Roman" w:hAnsi="Times New Roman" w:eastAsia="宋体" w:cs="Times New Roman"/>
          <w:color w:val="000000"/>
          <w:kern w:val="0"/>
          <w:sz w:val="28"/>
          <w:szCs w:val="28"/>
        </w:rPr>
        <w:t>和21243</w:t>
      </w:r>
      <w:r>
        <w:rPr>
          <w:rFonts w:ascii="Times New Roman" w:hAnsi="Times New Roman" w:eastAsia="宋体" w:cs="Times New Roman"/>
          <w:color w:val="000000"/>
          <w:kern w:val="0"/>
          <w:sz w:val="28"/>
          <w:szCs w:val="28"/>
        </w:rPr>
        <w:t>: 20</w:t>
      </w:r>
      <w:r>
        <w:rPr>
          <w:rFonts w:hint="eastAsia" w:ascii="Times New Roman" w:hAnsi="Times New Roman" w:eastAsia="宋体" w:cs="Times New Roman"/>
          <w:color w:val="000000"/>
          <w:kern w:val="0"/>
          <w:sz w:val="28"/>
          <w:szCs w:val="28"/>
        </w:rPr>
        <w:t>22</w:t>
      </w:r>
      <w:r>
        <w:rPr>
          <w:rFonts w:ascii="Times New Roman" w:hAnsi="Times New Roman" w:eastAsia="宋体" w:cs="Times New Roman"/>
          <w:color w:val="000000"/>
          <w:kern w:val="0"/>
          <w:sz w:val="28"/>
          <w:szCs w:val="28"/>
        </w:rPr>
        <w:t>(en)</w:t>
      </w:r>
      <w:r>
        <w:rPr>
          <w:rFonts w:hint="eastAsia" w:ascii="Times New Roman" w:hAnsi="Times New Roman" w:eastAsia="宋体" w:cs="Times New Roman"/>
          <w:color w:val="000000"/>
          <w:kern w:val="0"/>
          <w:sz w:val="28"/>
          <w:szCs w:val="28"/>
        </w:rPr>
        <w:t>技术</w:t>
      </w:r>
      <w:r>
        <w:rPr>
          <w:rFonts w:hint="eastAsia" w:ascii="Times New Roman" w:hAnsi="Times New Roman" w:eastAsia="宋体"/>
          <w:sz w:val="28"/>
          <w:szCs w:val="28"/>
        </w:rPr>
        <w:t>标准，参考了其部分内容。同时结合我国的实际情况，制定了本标准</w:t>
      </w:r>
      <w:r>
        <w:rPr>
          <w:rFonts w:hint="eastAsia" w:ascii="Times New Roman" w:hAnsi="Times New Roman" w:eastAsia="宋体"/>
          <w:sz w:val="28"/>
          <w:szCs w:val="28"/>
          <w:lang w:val="en-US" w:eastAsia="zh-CN"/>
        </w:rPr>
        <w:t>征求意见稿</w:t>
      </w:r>
      <w:r>
        <w:rPr>
          <w:rFonts w:hint="eastAsia" w:ascii="Times New Roman" w:hAnsi="Times New Roman" w:eastAsia="宋体"/>
          <w:sz w:val="28"/>
          <w:szCs w:val="28"/>
        </w:rPr>
        <w:t>，以尽可能具备科学性、实用性和可操作性，达到与相关国际标准同步的水平。</w:t>
      </w:r>
    </w:p>
    <w:p w14:paraId="6190334C">
      <w:pPr>
        <w:widowControl/>
        <w:numPr>
          <w:ilvl w:val="0"/>
          <w:numId w:val="3"/>
        </w:numPr>
        <w:shd w:val="clear" w:color="auto" w:fill="FFFFFF"/>
        <w:ind w:firstLine="640" w:firstLineChars="200"/>
        <w:rPr>
          <w:rFonts w:ascii="仿宋_GB2312" w:hAnsi="仿宋_GB2312" w:eastAsia="仿宋_GB2312" w:cs="仿宋_GB2312"/>
          <w:kern w:val="0"/>
          <w:sz w:val="32"/>
          <w:szCs w:val="32"/>
          <w:shd w:val="clear" w:color="auto" w:fill="FFFFFF"/>
          <w:lang w:bidi="ar"/>
        </w:rPr>
      </w:pPr>
      <w:r>
        <w:rPr>
          <w:rFonts w:hint="eastAsia" w:ascii="仿宋_GB2312" w:hAnsi="仿宋_GB2312" w:eastAsia="仿宋_GB2312" w:cs="仿宋_GB2312"/>
          <w:kern w:val="0"/>
          <w:sz w:val="32"/>
          <w:szCs w:val="32"/>
          <w:shd w:val="clear" w:color="auto" w:fill="FFFFFF"/>
          <w:lang w:bidi="ar"/>
        </w:rPr>
        <w:t>重大分歧或重难点的处理经过和依据</w:t>
      </w:r>
    </w:p>
    <w:p w14:paraId="24A63992">
      <w:pPr>
        <w:widowControl/>
        <w:shd w:val="clear" w:color="auto" w:fill="FFFFFF"/>
        <w:ind w:firstLine="640" w:firstLineChars="200"/>
        <w:rPr>
          <w:rFonts w:ascii="仿宋_GB2312" w:hAnsi="仿宋_GB2312" w:eastAsia="仿宋_GB2312" w:cs="仿宋_GB2312"/>
          <w:kern w:val="0"/>
          <w:sz w:val="32"/>
          <w:szCs w:val="32"/>
          <w:shd w:val="clear" w:color="auto" w:fill="FFFFFF"/>
          <w:lang w:bidi="ar"/>
        </w:rPr>
      </w:pPr>
      <w:r>
        <w:rPr>
          <w:rFonts w:hint="eastAsia" w:ascii="Times New Roman" w:hAnsi="Times New Roman" w:eastAsia="宋体" w:cs="仿宋_GB2312"/>
          <w:kern w:val="0"/>
          <w:sz w:val="32"/>
          <w:szCs w:val="32"/>
          <w:shd w:val="clear" w:color="auto" w:fill="FFFFFF"/>
          <w:lang w:bidi="ar"/>
        </w:rPr>
        <w:t>无。</w:t>
      </w:r>
    </w:p>
    <w:p w14:paraId="57E765FE">
      <w:pPr>
        <w:widowControl/>
        <w:numPr>
          <w:ilvl w:val="0"/>
          <w:numId w:val="3"/>
        </w:numPr>
        <w:shd w:val="clear" w:color="auto" w:fill="FFFFFF"/>
        <w:ind w:firstLine="640" w:firstLineChars="200"/>
        <w:rPr>
          <w:rFonts w:ascii="仿宋_GB2312" w:hAnsi="仿宋_GB2312" w:eastAsia="仿宋_GB2312" w:cs="仿宋_GB2312"/>
          <w:kern w:val="0"/>
          <w:sz w:val="32"/>
          <w:szCs w:val="32"/>
          <w:shd w:val="clear" w:color="auto" w:fill="FFFFFF"/>
          <w:lang w:bidi="ar"/>
        </w:rPr>
      </w:pPr>
      <w:r>
        <w:rPr>
          <w:rFonts w:hint="eastAsia" w:ascii="仿宋_GB2312" w:hAnsi="仿宋_GB2312" w:eastAsia="仿宋_GB2312" w:cs="仿宋_GB2312"/>
          <w:kern w:val="0"/>
          <w:sz w:val="32"/>
          <w:szCs w:val="32"/>
          <w:shd w:val="clear" w:color="auto" w:fill="FFFFFF"/>
          <w:lang w:bidi="ar"/>
        </w:rPr>
        <w:t>标准推广应用措施及预期效果</w:t>
      </w:r>
    </w:p>
    <w:p w14:paraId="61769E54">
      <w:pPr>
        <w:widowControl/>
        <w:shd w:val="clear" w:color="auto" w:fill="FFFFFF"/>
        <w:rPr>
          <w:rFonts w:ascii="仿宋_GB2312" w:hAnsi="仿宋_GB2312" w:eastAsia="仿宋_GB2312" w:cs="仿宋_GB2312"/>
          <w:kern w:val="0"/>
          <w:sz w:val="32"/>
          <w:szCs w:val="32"/>
          <w:shd w:val="clear" w:color="auto" w:fill="FFFFFF"/>
          <w:lang w:bidi="ar"/>
        </w:rPr>
      </w:pPr>
      <w:r>
        <w:rPr>
          <w:rFonts w:hint="eastAsia" w:ascii="Times New Roman" w:hAnsi="Times New Roman" w:eastAsia="宋体"/>
          <w:sz w:val="28"/>
          <w:szCs w:val="28"/>
        </w:rPr>
        <w:t xml:space="preserve">    本标准拟在发布后的2年内，借助本学会或相关专业团体学术年会平台对标准主要技术内容进行宣贯，同时定期组织国内从事生物剂量相关研究实验室的研讨会，以及举办对相关技术人员的培训班等，以全面提升国内应对大人群受照射时生物剂量估算的能力和水平。</w:t>
      </w:r>
    </w:p>
    <w:p w14:paraId="041AF17D">
      <w:pPr>
        <w:widowControl/>
        <w:shd w:val="clear" w:color="auto" w:fill="FFFFFF"/>
        <w:ind w:firstLine="640" w:firstLineChars="200"/>
        <w:rPr>
          <w:rFonts w:ascii="仿宋_GB2312" w:hAnsi="仿宋_GB2312" w:eastAsia="仿宋_GB2312" w:cs="仿宋_GB2312"/>
          <w:b/>
          <w:bCs/>
          <w:kern w:val="0"/>
          <w:sz w:val="32"/>
          <w:szCs w:val="32"/>
          <w:shd w:val="clear" w:color="auto" w:fill="FFFFFF"/>
          <w:lang w:bidi="ar"/>
        </w:rPr>
      </w:pPr>
      <w:r>
        <w:rPr>
          <w:rFonts w:hint="eastAsia" w:ascii="仿宋_GB2312" w:hAnsi="仿宋_GB2312" w:eastAsia="仿宋_GB2312" w:cs="仿宋_GB2312"/>
          <w:kern w:val="0"/>
          <w:sz w:val="32"/>
          <w:szCs w:val="32"/>
          <w:shd w:val="clear" w:color="auto" w:fill="FFFFFF"/>
          <w:lang w:bidi="ar"/>
        </w:rPr>
        <w:t>九、其他应说明的事项</w:t>
      </w:r>
    </w:p>
    <w:p w14:paraId="6767F2B5">
      <w:r>
        <w:rPr>
          <w:rFonts w:hint="eastAsia" w:ascii="Times New Roman" w:hAnsi="Times New Roman" w:eastAsia="宋体" w:cs="仿宋_GB2312"/>
          <w:kern w:val="0"/>
          <w:sz w:val="32"/>
          <w:szCs w:val="32"/>
          <w:shd w:val="clear" w:color="auto" w:fill="FFFFFF"/>
          <w:lang w:bidi="ar"/>
        </w:rPr>
        <w:t xml:space="preserve">    无。</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script"/>
    <w:pitch w:val="default"/>
    <w:sig w:usb0="00000001" w:usb1="08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auto"/>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3EAFEBA"/>
    <w:multiLevelType w:val="singleLevel"/>
    <w:tmpl w:val="63EAFEBA"/>
    <w:lvl w:ilvl="0" w:tentative="0">
      <w:start w:val="1"/>
      <w:numFmt w:val="chineseCounting"/>
      <w:suff w:val="nothing"/>
      <w:lvlText w:val="（%1）"/>
      <w:lvlJc w:val="left"/>
    </w:lvl>
  </w:abstractNum>
  <w:abstractNum w:abstractNumId="1">
    <w:nsid w:val="65E5484B"/>
    <w:multiLevelType w:val="singleLevel"/>
    <w:tmpl w:val="65E5484B"/>
    <w:lvl w:ilvl="0" w:tentative="0">
      <w:start w:val="1"/>
      <w:numFmt w:val="chineseCounting"/>
      <w:suff w:val="nothing"/>
      <w:lvlText w:val="%1、"/>
      <w:lvlJc w:val="left"/>
    </w:lvl>
  </w:abstractNum>
  <w:abstractNum w:abstractNumId="2">
    <w:nsid w:val="65E54B77"/>
    <w:multiLevelType w:val="singleLevel"/>
    <w:tmpl w:val="65E54B77"/>
    <w:lvl w:ilvl="0" w:tentative="0">
      <w:start w:val="4"/>
      <w:numFmt w:val="chineseCounting"/>
      <w:suff w:val="nothing"/>
      <w:lvlText w:val="%1、"/>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M1NzdiMzQ5MmVmOWIzMzQzMDRmYWFkNzZiY2U3OTQifQ=="/>
  </w:docVars>
  <w:rsids>
    <w:rsidRoot w:val="0003125C"/>
    <w:rsid w:val="000278F0"/>
    <w:rsid w:val="0003125C"/>
    <w:rsid w:val="00803404"/>
    <w:rsid w:val="00E51B6D"/>
    <w:rsid w:val="04307C86"/>
    <w:rsid w:val="048B265F"/>
    <w:rsid w:val="078B5EF9"/>
    <w:rsid w:val="0D3069C9"/>
    <w:rsid w:val="19616680"/>
    <w:rsid w:val="1CC80EC6"/>
    <w:rsid w:val="24690250"/>
    <w:rsid w:val="313B7180"/>
    <w:rsid w:val="329D130B"/>
    <w:rsid w:val="370863E8"/>
    <w:rsid w:val="386F5F50"/>
    <w:rsid w:val="397D5D0A"/>
    <w:rsid w:val="3DB87F2D"/>
    <w:rsid w:val="41A10BB0"/>
    <w:rsid w:val="4CD14C38"/>
    <w:rsid w:val="58307D6E"/>
    <w:rsid w:val="5DF314E2"/>
    <w:rsid w:val="67642CDA"/>
    <w:rsid w:val="69134C86"/>
    <w:rsid w:val="6BC56466"/>
    <w:rsid w:val="70CD1264"/>
    <w:rsid w:val="71BD0BB4"/>
    <w:rsid w:val="748068B1"/>
    <w:rsid w:val="75ED69A3"/>
    <w:rsid w:val="78A2727A"/>
    <w:rsid w:val="7E422E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unhideWhenUsed/>
    <w:qFormat/>
    <w:uiPriority w:val="1"/>
  </w:style>
  <w:style w:type="table" w:default="1" w:styleId="4">
    <w:name w:val="Normal Table"/>
    <w:unhideWhenUsed/>
    <w:qFormat/>
    <w:uiPriority w:val="99"/>
    <w:tblPr>
      <w:tblCellMar>
        <w:top w:w="0" w:type="dxa"/>
        <w:left w:w="108" w:type="dxa"/>
        <w:bottom w:w="0" w:type="dxa"/>
        <w:right w:w="108" w:type="dxa"/>
      </w:tblCellMar>
    </w:tblPr>
  </w:style>
  <w:style w:type="paragraph" w:styleId="2">
    <w:name w:val="footer"/>
    <w:basedOn w:val="1"/>
    <w:link w:val="9"/>
    <w:qFormat/>
    <w:uiPriority w:val="0"/>
    <w:pPr>
      <w:tabs>
        <w:tab w:val="center" w:pos="4153"/>
        <w:tab w:val="right" w:pos="8306"/>
      </w:tabs>
      <w:snapToGrid w:val="0"/>
      <w:jc w:val="left"/>
    </w:pPr>
    <w:rPr>
      <w:sz w:val="18"/>
      <w:szCs w:val="18"/>
    </w:rPr>
  </w:style>
  <w:style w:type="paragraph" w:styleId="3">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paragraph" w:customStyle="1" w:styleId="6">
    <w:name w:val="Default"/>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7">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character" w:customStyle="1" w:styleId="8">
    <w:name w:val="页眉 字符"/>
    <w:basedOn w:val="5"/>
    <w:link w:val="3"/>
    <w:qFormat/>
    <w:uiPriority w:val="0"/>
    <w:rPr>
      <w:kern w:val="2"/>
      <w:sz w:val="18"/>
      <w:szCs w:val="18"/>
    </w:rPr>
  </w:style>
  <w:style w:type="character" w:customStyle="1" w:styleId="9">
    <w:name w:val="页脚 字符"/>
    <w:basedOn w:val="5"/>
    <w:link w:val="2"/>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7</Pages>
  <Words>2883</Words>
  <Characters>3192</Characters>
  <Lines>28</Lines>
  <Paragraphs>8</Paragraphs>
  <TotalTime>0</TotalTime>
  <ScaleCrop>false</ScaleCrop>
  <LinksUpToDate>false</LinksUpToDate>
  <CharactersWithSpaces>3274</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学会秘书处</cp:lastModifiedBy>
  <dcterms:modified xsi:type="dcterms:W3CDTF">2025-01-09T01:55:09Z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6FD86DFFFD944528ACD1A0366DC5FA67_13</vt:lpwstr>
  </property>
</Properties>
</file>