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5AC98">
      <w:pPr>
        <w:widowControl/>
        <w:jc w:val="left"/>
        <w:rPr>
          <w:rFonts w:ascii="仿宋" w:hAnsi="仿宋" w:eastAsia="仿宋"/>
          <w:b/>
          <w:sz w:val="30"/>
          <w:szCs w:val="30"/>
        </w:rPr>
      </w:pPr>
      <w:bookmarkStart w:id="221" w:name="_GoBack"/>
      <w:bookmarkEnd w:id="221"/>
    </w:p>
    <w:tbl>
      <w:tblPr>
        <w:tblStyle w:val="10"/>
        <w:tblW w:w="9640" w:type="dxa"/>
        <w:tblInd w:w="-652" w:type="dxa"/>
        <w:tblLayout w:type="fixed"/>
        <w:tblCellMar>
          <w:top w:w="0" w:type="dxa"/>
          <w:left w:w="0" w:type="dxa"/>
          <w:bottom w:w="0" w:type="dxa"/>
          <w:right w:w="0" w:type="dxa"/>
        </w:tblCellMar>
      </w:tblPr>
      <w:tblGrid>
        <w:gridCol w:w="454"/>
        <w:gridCol w:w="283"/>
        <w:gridCol w:w="2042"/>
        <w:gridCol w:w="453"/>
        <w:gridCol w:w="1134"/>
        <w:gridCol w:w="5124"/>
        <w:gridCol w:w="150"/>
      </w:tblGrid>
      <w:tr w14:paraId="6D8408C1">
        <w:tblPrEx>
          <w:tblCellMar>
            <w:top w:w="0" w:type="dxa"/>
            <w:left w:w="0" w:type="dxa"/>
            <w:bottom w:w="0" w:type="dxa"/>
            <w:right w:w="0" w:type="dxa"/>
          </w:tblCellMar>
        </w:tblPrEx>
        <w:trPr>
          <w:gridAfter w:val="4"/>
          <w:wAfter w:w="6861" w:type="dxa"/>
          <w:trHeight w:val="312" w:hRule="exact"/>
        </w:trPr>
        <w:tc>
          <w:tcPr>
            <w:tcW w:w="454" w:type="dxa"/>
            <w:vAlign w:val="center"/>
          </w:tcPr>
          <w:p w14:paraId="64DCC917">
            <w:pPr>
              <w:rPr>
                <w:rFonts w:ascii="Times New Roman" w:hAnsi="Times New Roman" w:eastAsia="黑体" w:cs="Times New Roman"/>
                <w:b/>
                <w:szCs w:val="20"/>
              </w:rPr>
            </w:pPr>
          </w:p>
        </w:tc>
        <w:tc>
          <w:tcPr>
            <w:tcW w:w="2325" w:type="dxa"/>
            <w:gridSpan w:val="2"/>
            <w:vAlign w:val="center"/>
          </w:tcPr>
          <w:p w14:paraId="689A6477">
            <w:pPr>
              <w:jc w:val="left"/>
              <w:textAlignment w:val="center"/>
              <w:rPr>
                <w:rFonts w:ascii="黑体" w:hAnsi="黑体" w:eastAsia="黑体" w:cs="Times New Roman"/>
                <w:kern w:val="0"/>
                <w:szCs w:val="20"/>
              </w:rPr>
            </w:pPr>
            <w:r>
              <w:rPr>
                <w:rFonts w:hint="eastAsia" w:ascii="黑体" w:hAnsi="黑体" w:eastAsia="黑体" w:cs="Times New Roman"/>
                <w:color w:val="558ED5" w:themeColor="text2" w:themeTint="99"/>
                <w:spacing w:val="10"/>
                <w:szCs w:val="20"/>
                <w14:textFill>
                  <w14:solidFill>
                    <w14:schemeClr w14:val="tx2">
                      <w14:lumMod w14:val="60000"/>
                      <w14:lumOff w14:val="40000"/>
                    </w14:schemeClr>
                  </w14:solidFill>
                </w14:textFill>
              </w:rPr>
              <w:drawing>
                <wp:anchor distT="0" distB="0" distL="114300" distR="114300" simplePos="0" relativeHeight="251661312" behindDoc="0" locked="0" layoutInCell="1" allowOverlap="1">
                  <wp:simplePos x="0" y="0"/>
                  <wp:positionH relativeFrom="column">
                    <wp:posOffset>4297680</wp:posOffset>
                  </wp:positionH>
                  <wp:positionV relativeFrom="paragraph">
                    <wp:posOffset>22860</wp:posOffset>
                  </wp:positionV>
                  <wp:extent cx="1083945" cy="1223645"/>
                  <wp:effectExtent l="0" t="0" r="1905" b="14605"/>
                  <wp:wrapNone/>
                  <wp:docPr id="22" name="图片 49" descr="E:\工作后5.3\【00】行政事务\CSRP.pngCS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9" descr="E:\工作后5.3\【00】行政事务\CSRP.pngCSRP"/>
                          <pic:cNvPicPr>
                            <a:picLocks noChangeAspect="1" noChangeArrowheads="1"/>
                          </pic:cNvPicPr>
                        </pic:nvPicPr>
                        <pic:blipFill>
                          <a:blip r:embed="rId7"/>
                          <a:srcRect/>
                          <a:stretch>
                            <a:fillRect/>
                          </a:stretch>
                        </pic:blipFill>
                        <pic:spPr>
                          <a:xfrm>
                            <a:off x="0" y="0"/>
                            <a:ext cx="1083945" cy="1223645"/>
                          </a:xfrm>
                          <a:prstGeom prst="rect">
                            <a:avLst/>
                          </a:prstGeom>
                          <a:noFill/>
                          <a:ln w="9525">
                            <a:noFill/>
                            <a:miter lim="800000"/>
                            <a:headEnd/>
                            <a:tailEnd/>
                          </a:ln>
                        </pic:spPr>
                      </pic:pic>
                    </a:graphicData>
                  </a:graphic>
                </wp:anchor>
              </w:drawing>
            </w:r>
          </w:p>
          <w:p w14:paraId="018632CF">
            <w:pPr>
              <w:rPr>
                <w:rFonts w:ascii="黑体" w:hAnsi="黑体" w:eastAsia="黑体" w:cs="Times New Roman"/>
                <w:szCs w:val="20"/>
              </w:rPr>
            </w:pPr>
          </w:p>
        </w:tc>
      </w:tr>
      <w:tr w14:paraId="2955C815">
        <w:tblPrEx>
          <w:tblCellMar>
            <w:top w:w="0" w:type="dxa"/>
            <w:left w:w="0" w:type="dxa"/>
            <w:bottom w:w="0" w:type="dxa"/>
            <w:right w:w="0" w:type="dxa"/>
          </w:tblCellMar>
        </w:tblPrEx>
        <w:trPr>
          <w:gridAfter w:val="4"/>
          <w:wAfter w:w="6861" w:type="dxa"/>
          <w:trHeight w:val="312" w:hRule="exact"/>
        </w:trPr>
        <w:tc>
          <w:tcPr>
            <w:tcW w:w="737" w:type="dxa"/>
            <w:gridSpan w:val="2"/>
            <w:vAlign w:val="center"/>
          </w:tcPr>
          <w:p w14:paraId="6C12C8D2">
            <w:pPr>
              <w:ind w:right="-170"/>
              <w:rPr>
                <w:rFonts w:ascii="黑体" w:hAnsi="黑体" w:eastAsia="黑体" w:cs="Times New Roman"/>
                <w:szCs w:val="20"/>
              </w:rPr>
            </w:pPr>
          </w:p>
        </w:tc>
        <w:tc>
          <w:tcPr>
            <w:tcW w:w="2042" w:type="dxa"/>
            <w:vAlign w:val="center"/>
          </w:tcPr>
          <w:p w14:paraId="10807AEB">
            <w:pPr>
              <w:rPr>
                <w:rFonts w:ascii="Times New Roman" w:hAnsi="Times New Roman" w:eastAsia="黑体" w:cs="Times New Roman"/>
                <w:szCs w:val="20"/>
              </w:rPr>
            </w:pPr>
          </w:p>
        </w:tc>
      </w:tr>
      <w:tr w14:paraId="1D35D409">
        <w:tblPrEx>
          <w:tblCellMar>
            <w:top w:w="0" w:type="dxa"/>
            <w:left w:w="0" w:type="dxa"/>
            <w:bottom w:w="0" w:type="dxa"/>
            <w:right w:w="0" w:type="dxa"/>
          </w:tblCellMar>
        </w:tblPrEx>
        <w:trPr>
          <w:gridAfter w:val="4"/>
          <w:wAfter w:w="6861" w:type="dxa"/>
          <w:trHeight w:val="312" w:hRule="exact"/>
        </w:trPr>
        <w:tc>
          <w:tcPr>
            <w:tcW w:w="737" w:type="dxa"/>
            <w:gridSpan w:val="2"/>
            <w:vAlign w:val="center"/>
          </w:tcPr>
          <w:p w14:paraId="1DACF23D">
            <w:pPr>
              <w:ind w:right="-170"/>
              <w:rPr>
                <w:rFonts w:ascii="Times New Roman" w:hAnsi="Times New Roman" w:eastAsia="黑体" w:cs="Times New Roman"/>
                <w:szCs w:val="20"/>
              </w:rPr>
            </w:pPr>
          </w:p>
        </w:tc>
        <w:tc>
          <w:tcPr>
            <w:tcW w:w="2042" w:type="dxa"/>
            <w:vAlign w:val="center"/>
          </w:tcPr>
          <w:p w14:paraId="1ADFAC63">
            <w:pPr>
              <w:ind w:left="57"/>
              <w:rPr>
                <w:rFonts w:ascii="Arial Narrow" w:hAnsi="Arial Narrow" w:eastAsia="黑体" w:cs="Times New Roman"/>
                <w:szCs w:val="20"/>
              </w:rPr>
            </w:pPr>
          </w:p>
        </w:tc>
      </w:tr>
      <w:tr w14:paraId="5BC443B1">
        <w:tblPrEx>
          <w:tblCellMar>
            <w:top w:w="0" w:type="dxa"/>
            <w:left w:w="0" w:type="dxa"/>
            <w:bottom w:w="0" w:type="dxa"/>
            <w:right w:w="0" w:type="dxa"/>
          </w:tblCellMar>
        </w:tblPrEx>
        <w:trPr>
          <w:gridAfter w:val="4"/>
          <w:wAfter w:w="6861" w:type="dxa"/>
          <w:trHeight w:val="312" w:hRule="exact"/>
        </w:trPr>
        <w:tc>
          <w:tcPr>
            <w:tcW w:w="737" w:type="dxa"/>
            <w:gridSpan w:val="2"/>
            <w:vAlign w:val="center"/>
          </w:tcPr>
          <w:p w14:paraId="48986427">
            <w:pPr>
              <w:ind w:right="-170"/>
              <w:rPr>
                <w:rFonts w:ascii="Times New Roman" w:hAnsi="Times New Roman" w:eastAsia="黑体" w:cs="Times New Roman"/>
                <w:i/>
                <w:szCs w:val="20"/>
              </w:rPr>
            </w:pPr>
          </w:p>
        </w:tc>
        <w:tc>
          <w:tcPr>
            <w:tcW w:w="2042" w:type="dxa"/>
            <w:vAlign w:val="center"/>
          </w:tcPr>
          <w:p w14:paraId="616420CB">
            <w:pPr>
              <w:ind w:left="57"/>
              <w:rPr>
                <w:rFonts w:ascii="Arial Narrow" w:hAnsi="Arial Narrow" w:eastAsia="黑体" w:cs="Times New Roman"/>
                <w:i/>
                <w:szCs w:val="20"/>
              </w:rPr>
            </w:pPr>
          </w:p>
        </w:tc>
      </w:tr>
      <w:tr w14:paraId="7F38D316">
        <w:tblPrEx>
          <w:tblCellMar>
            <w:top w:w="0" w:type="dxa"/>
            <w:left w:w="0" w:type="dxa"/>
            <w:bottom w:w="0" w:type="dxa"/>
            <w:right w:w="0" w:type="dxa"/>
          </w:tblCellMar>
        </w:tblPrEx>
        <w:trPr>
          <w:trHeight w:val="368" w:hRule="exact"/>
        </w:trPr>
        <w:tc>
          <w:tcPr>
            <w:tcW w:w="9640" w:type="dxa"/>
            <w:gridSpan w:val="7"/>
          </w:tcPr>
          <w:p w14:paraId="0DF14E85">
            <w:pPr>
              <w:spacing w:before="120" w:after="120"/>
              <w:rPr>
                <w:rFonts w:ascii="Times New Roman" w:hAnsi="Times New Roman" w:eastAsia="宋体" w:cs="Times New Roman"/>
                <w:szCs w:val="20"/>
              </w:rPr>
            </w:pPr>
          </w:p>
        </w:tc>
      </w:tr>
      <w:tr w14:paraId="22D348C5">
        <w:tblPrEx>
          <w:tblCellMar>
            <w:top w:w="0" w:type="dxa"/>
            <w:left w:w="0" w:type="dxa"/>
            <w:bottom w:w="0" w:type="dxa"/>
            <w:right w:w="0" w:type="dxa"/>
          </w:tblCellMar>
        </w:tblPrEx>
        <w:trPr>
          <w:trHeight w:val="120" w:hRule="exact"/>
        </w:trPr>
        <w:tc>
          <w:tcPr>
            <w:tcW w:w="9640" w:type="dxa"/>
            <w:gridSpan w:val="7"/>
          </w:tcPr>
          <w:p w14:paraId="63008A81">
            <w:pPr>
              <w:spacing w:before="120" w:after="120"/>
              <w:rPr>
                <w:rFonts w:ascii="Times New Roman" w:hAnsi="Times New Roman" w:eastAsia="宋体" w:cs="Times New Roman"/>
                <w:szCs w:val="20"/>
              </w:rPr>
            </w:pPr>
          </w:p>
        </w:tc>
      </w:tr>
      <w:tr w14:paraId="3E0E8C91">
        <w:tblPrEx>
          <w:tblCellMar>
            <w:top w:w="0" w:type="dxa"/>
            <w:left w:w="0" w:type="dxa"/>
            <w:bottom w:w="0" w:type="dxa"/>
            <w:right w:w="0" w:type="dxa"/>
          </w:tblCellMar>
        </w:tblPrEx>
        <w:trPr>
          <w:trHeight w:val="518" w:hRule="exact"/>
        </w:trPr>
        <w:tc>
          <w:tcPr>
            <w:tcW w:w="9640" w:type="dxa"/>
            <w:gridSpan w:val="7"/>
          </w:tcPr>
          <w:p w14:paraId="38FE581E">
            <w:pPr>
              <w:spacing w:before="120" w:after="120"/>
              <w:rPr>
                <w:rFonts w:ascii="Times New Roman" w:hAnsi="Times New Roman" w:eastAsia="宋体" w:cs="Times New Roman"/>
                <w:szCs w:val="20"/>
              </w:rPr>
            </w:pPr>
          </w:p>
        </w:tc>
      </w:tr>
      <w:tr w14:paraId="1E16167E">
        <w:tblPrEx>
          <w:tblCellMar>
            <w:top w:w="0" w:type="dxa"/>
            <w:left w:w="0" w:type="dxa"/>
            <w:bottom w:w="0" w:type="dxa"/>
            <w:right w:w="0" w:type="dxa"/>
          </w:tblCellMar>
        </w:tblPrEx>
        <w:trPr>
          <w:trHeight w:val="722" w:hRule="exact"/>
        </w:trPr>
        <w:tc>
          <w:tcPr>
            <w:tcW w:w="9640" w:type="dxa"/>
            <w:gridSpan w:val="7"/>
            <w:vAlign w:val="center"/>
          </w:tcPr>
          <w:p w14:paraId="4DF4CBF0">
            <w:pPr>
              <w:spacing w:after="240" w:line="560" w:lineRule="exact"/>
              <w:ind w:right="28"/>
              <w:jc w:val="center"/>
              <w:rPr>
                <w:rFonts w:ascii="Times New Roman" w:hAnsi="Times New Roman" w:eastAsia="黑体" w:cs="Times New Roman"/>
                <w:w w:val="140"/>
                <w:sz w:val="52"/>
                <w:szCs w:val="20"/>
              </w:rPr>
            </w:pPr>
            <w:r>
              <w:rPr>
                <w:rFonts w:hint="eastAsia" w:ascii="Times New Roman" w:hAnsi="Times New Roman" w:eastAsia="黑体" w:cs="Times New Roman"/>
                <w:w w:val="140"/>
                <w:sz w:val="52"/>
                <w:szCs w:val="20"/>
              </w:rPr>
              <w:t>团体标准</w:t>
            </w:r>
          </w:p>
          <w:p w14:paraId="48D7F6DE">
            <w:pPr>
              <w:spacing w:line="520" w:lineRule="exact"/>
              <w:rPr>
                <w:rFonts w:ascii="Times New Roman" w:hAnsi="Times New Roman" w:eastAsia="宋体" w:cs="Times New Roman"/>
                <w:w w:val="140"/>
                <w:sz w:val="52"/>
                <w:szCs w:val="20"/>
              </w:rPr>
            </w:pPr>
          </w:p>
        </w:tc>
      </w:tr>
      <w:tr w14:paraId="18EAE134">
        <w:tblPrEx>
          <w:tblCellMar>
            <w:top w:w="0" w:type="dxa"/>
            <w:left w:w="0" w:type="dxa"/>
            <w:bottom w:w="0" w:type="dxa"/>
            <w:right w:w="0" w:type="dxa"/>
          </w:tblCellMar>
        </w:tblPrEx>
        <w:trPr>
          <w:trHeight w:val="340" w:hRule="exact"/>
        </w:trPr>
        <w:tc>
          <w:tcPr>
            <w:tcW w:w="9640" w:type="dxa"/>
            <w:gridSpan w:val="7"/>
          </w:tcPr>
          <w:p w14:paraId="692B565F">
            <w:pPr>
              <w:jc w:val="center"/>
              <w:rPr>
                <w:rFonts w:ascii="Times New Roman" w:hAnsi="Times New Roman" w:eastAsia="黑体" w:cs="Times New Roman"/>
                <w:b/>
                <w:sz w:val="52"/>
                <w:szCs w:val="20"/>
              </w:rPr>
            </w:pPr>
          </w:p>
        </w:tc>
      </w:tr>
      <w:tr w14:paraId="2C09FD36">
        <w:tblPrEx>
          <w:tblCellMar>
            <w:top w:w="0" w:type="dxa"/>
            <w:left w:w="0" w:type="dxa"/>
            <w:bottom w:w="0" w:type="dxa"/>
            <w:right w:w="0" w:type="dxa"/>
          </w:tblCellMar>
        </w:tblPrEx>
        <w:trPr>
          <w:cantSplit/>
          <w:trHeight w:val="60" w:hRule="exact"/>
        </w:trPr>
        <w:tc>
          <w:tcPr>
            <w:tcW w:w="3232" w:type="dxa"/>
            <w:gridSpan w:val="4"/>
            <w:vAlign w:val="center"/>
          </w:tcPr>
          <w:p w14:paraId="10A7E412">
            <w:pPr>
              <w:rPr>
                <w:rFonts w:ascii="Times New Roman" w:hAnsi="Times New Roman" w:eastAsia="宋体" w:cs="Times New Roman"/>
                <w:szCs w:val="20"/>
              </w:rPr>
            </w:pPr>
          </w:p>
        </w:tc>
        <w:tc>
          <w:tcPr>
            <w:tcW w:w="1134" w:type="dxa"/>
            <w:vAlign w:val="center"/>
          </w:tcPr>
          <w:p w14:paraId="50A00A88">
            <w:pPr>
              <w:jc w:val="right"/>
              <w:rPr>
                <w:rFonts w:ascii="Times New Roman" w:hAnsi="Times New Roman" w:eastAsia="宋体" w:cs="Times New Roman"/>
                <w:szCs w:val="20"/>
              </w:rPr>
            </w:pPr>
          </w:p>
        </w:tc>
        <w:tc>
          <w:tcPr>
            <w:tcW w:w="5124" w:type="dxa"/>
            <w:vAlign w:val="center"/>
          </w:tcPr>
          <w:p w14:paraId="049D52CF">
            <w:pPr>
              <w:wordWrap w:val="0"/>
              <w:jc w:val="right"/>
              <w:rPr>
                <w:rFonts w:ascii="Times New Roman" w:hAnsi="Times New Roman" w:eastAsia="宋体" w:cs="Times New Roman"/>
                <w:szCs w:val="20"/>
              </w:rPr>
            </w:pPr>
          </w:p>
        </w:tc>
        <w:tc>
          <w:tcPr>
            <w:tcW w:w="150" w:type="dxa"/>
            <w:vAlign w:val="center"/>
          </w:tcPr>
          <w:p w14:paraId="5D39770F">
            <w:pPr>
              <w:rPr>
                <w:rFonts w:ascii="Times New Roman" w:hAnsi="Times New Roman" w:eastAsia="宋体" w:cs="Times New Roman"/>
                <w:szCs w:val="20"/>
              </w:rPr>
            </w:pPr>
          </w:p>
        </w:tc>
      </w:tr>
      <w:tr w14:paraId="0FE1597A">
        <w:tblPrEx>
          <w:tblCellMar>
            <w:top w:w="0" w:type="dxa"/>
            <w:left w:w="0" w:type="dxa"/>
            <w:bottom w:w="0" w:type="dxa"/>
            <w:right w:w="0" w:type="dxa"/>
          </w:tblCellMar>
        </w:tblPrEx>
        <w:trPr>
          <w:cantSplit/>
          <w:trHeight w:val="360" w:hRule="exact"/>
        </w:trPr>
        <w:tc>
          <w:tcPr>
            <w:tcW w:w="3232" w:type="dxa"/>
            <w:gridSpan w:val="4"/>
            <w:vAlign w:val="center"/>
          </w:tcPr>
          <w:p w14:paraId="47E61EC2">
            <w:pPr>
              <w:rPr>
                <w:rFonts w:ascii="Times New Roman" w:hAnsi="Times New Roman" w:eastAsia="宋体" w:cs="Times New Roman"/>
                <w:szCs w:val="20"/>
              </w:rPr>
            </w:pPr>
          </w:p>
        </w:tc>
        <w:tc>
          <w:tcPr>
            <w:tcW w:w="1134" w:type="dxa"/>
            <w:vAlign w:val="center"/>
          </w:tcPr>
          <w:p w14:paraId="032FA474">
            <w:pPr>
              <w:jc w:val="right"/>
              <w:rPr>
                <w:rFonts w:ascii="Times New Roman" w:hAnsi="Times New Roman" w:eastAsia="宋体" w:cs="Times New Roman"/>
                <w:szCs w:val="20"/>
              </w:rPr>
            </w:pPr>
          </w:p>
        </w:tc>
        <w:tc>
          <w:tcPr>
            <w:tcW w:w="5124" w:type="dxa"/>
            <w:vAlign w:val="center"/>
          </w:tcPr>
          <w:p w14:paraId="7EFDE6CB">
            <w:pPr>
              <w:spacing w:line="360" w:lineRule="exact"/>
              <w:jc w:val="right"/>
              <w:rPr>
                <w:rFonts w:ascii="黑体" w:hAnsi="黑体" w:eastAsia="黑体" w:cs="Times New Roman"/>
                <w:szCs w:val="20"/>
              </w:rPr>
            </w:pPr>
            <w:r>
              <w:rPr>
                <w:rFonts w:ascii="黑体" w:hAnsi="黑体" w:eastAsia="黑体" w:cs="Times New Roman"/>
                <w:sz w:val="28"/>
                <w:szCs w:val="20"/>
              </w:rPr>
              <w:t>T/C</w:t>
            </w:r>
            <w:r>
              <w:rPr>
                <w:rFonts w:hint="eastAsia" w:ascii="黑体" w:hAnsi="黑体" w:eastAsia="黑体" w:cs="Times New Roman"/>
                <w:sz w:val="28"/>
                <w:szCs w:val="20"/>
              </w:rPr>
              <w:t>SRP</w:t>
            </w:r>
            <w:r>
              <w:rPr>
                <w:rFonts w:ascii="黑体" w:hAnsi="黑体" w:eastAsia="黑体" w:cs="Times New Roman"/>
                <w:sz w:val="28"/>
                <w:szCs w:val="20"/>
              </w:rPr>
              <w:t xml:space="preserve"> </w:t>
            </w:r>
            <w:r>
              <w:rPr>
                <w:rFonts w:hint="eastAsia" w:ascii="黑体" w:hAnsi="黑体" w:eastAsia="黑体" w:cs="Times New Roman"/>
                <w:color w:val="000000" w:themeColor="text1"/>
                <w:spacing w:val="10"/>
                <w:sz w:val="28"/>
                <w:szCs w:val="20"/>
                <w14:textFill>
                  <w14:solidFill>
                    <w14:schemeClr w14:val="tx1"/>
                  </w14:solidFill>
                </w14:textFill>
              </w:rPr>
              <w:t>****</w:t>
            </w:r>
            <w:r>
              <w:rPr>
                <w:rFonts w:ascii="黑体" w:hAnsi="黑体" w:eastAsia="黑体" w:cs="Times New Roman"/>
                <w:color w:val="000000" w:themeColor="text1"/>
                <w:spacing w:val="10"/>
                <w:sz w:val="28"/>
                <w:szCs w:val="20"/>
                <w14:textFill>
                  <w14:solidFill>
                    <w14:schemeClr w14:val="tx1"/>
                  </w14:solidFill>
                </w14:textFill>
              </w:rPr>
              <w:t>－20</w:t>
            </w:r>
            <w:r>
              <w:rPr>
                <w:rFonts w:hint="eastAsia" w:ascii="黑体" w:hAnsi="黑体" w:eastAsia="黑体" w:cs="Times New Roman"/>
                <w:color w:val="000000" w:themeColor="text1"/>
                <w:spacing w:val="10"/>
                <w:sz w:val="28"/>
                <w:szCs w:val="20"/>
                <w14:textFill>
                  <w14:solidFill>
                    <w14:schemeClr w14:val="tx1"/>
                  </w14:solidFill>
                </w14:textFill>
              </w:rPr>
              <w:t>**</w:t>
            </w:r>
          </w:p>
        </w:tc>
        <w:tc>
          <w:tcPr>
            <w:tcW w:w="150" w:type="dxa"/>
            <w:vAlign w:val="center"/>
          </w:tcPr>
          <w:p w14:paraId="1D69A3C3">
            <w:pPr>
              <w:rPr>
                <w:rFonts w:ascii="Times New Roman" w:hAnsi="Times New Roman" w:eastAsia="宋体" w:cs="Times New Roman"/>
                <w:szCs w:val="20"/>
              </w:rPr>
            </w:pPr>
          </w:p>
        </w:tc>
      </w:tr>
      <w:tr w14:paraId="3CA18132">
        <w:tblPrEx>
          <w:tblCellMar>
            <w:top w:w="0" w:type="dxa"/>
            <w:left w:w="0" w:type="dxa"/>
            <w:bottom w:w="0" w:type="dxa"/>
            <w:right w:w="0" w:type="dxa"/>
          </w:tblCellMar>
        </w:tblPrEx>
        <w:trPr>
          <w:cantSplit/>
          <w:trHeight w:val="148" w:hRule="exact"/>
        </w:trPr>
        <w:tc>
          <w:tcPr>
            <w:tcW w:w="3232" w:type="dxa"/>
            <w:gridSpan w:val="4"/>
            <w:vAlign w:val="center"/>
          </w:tcPr>
          <w:p w14:paraId="49248ADA">
            <w:pPr>
              <w:rPr>
                <w:rFonts w:ascii="Times New Roman" w:hAnsi="Times New Roman" w:eastAsia="宋体" w:cs="Times New Roman"/>
                <w:szCs w:val="20"/>
              </w:rPr>
            </w:pPr>
          </w:p>
        </w:tc>
        <w:tc>
          <w:tcPr>
            <w:tcW w:w="1134" w:type="dxa"/>
            <w:vAlign w:val="center"/>
          </w:tcPr>
          <w:p w14:paraId="68978EC4">
            <w:pPr>
              <w:jc w:val="right"/>
              <w:rPr>
                <w:rFonts w:ascii="Times New Roman" w:hAnsi="Times New Roman" w:eastAsia="宋体" w:cs="Times New Roman"/>
                <w:szCs w:val="20"/>
              </w:rPr>
            </w:pPr>
          </w:p>
        </w:tc>
        <w:tc>
          <w:tcPr>
            <w:tcW w:w="5124" w:type="dxa"/>
            <w:vAlign w:val="center"/>
          </w:tcPr>
          <w:p w14:paraId="5199D7CC">
            <w:pPr>
              <w:wordWrap w:val="0"/>
              <w:jc w:val="right"/>
              <w:rPr>
                <w:rFonts w:ascii="Times New Roman" w:hAnsi="Times New Roman" w:eastAsia="宋体" w:cs="Times New Roman"/>
                <w:szCs w:val="20"/>
              </w:rPr>
            </w:pPr>
          </w:p>
        </w:tc>
        <w:tc>
          <w:tcPr>
            <w:tcW w:w="150" w:type="dxa"/>
            <w:vAlign w:val="center"/>
          </w:tcPr>
          <w:p w14:paraId="65651CE2">
            <w:pPr>
              <w:rPr>
                <w:rFonts w:ascii="Times New Roman" w:hAnsi="Times New Roman" w:eastAsia="宋体" w:cs="Times New Roman"/>
                <w:szCs w:val="20"/>
              </w:rPr>
            </w:pPr>
          </w:p>
        </w:tc>
      </w:tr>
      <w:tr w14:paraId="2C035FB7">
        <w:tblPrEx>
          <w:tblCellMar>
            <w:top w:w="0" w:type="dxa"/>
            <w:left w:w="0" w:type="dxa"/>
            <w:bottom w:w="0" w:type="dxa"/>
            <w:right w:w="0" w:type="dxa"/>
          </w:tblCellMar>
        </w:tblPrEx>
        <w:trPr>
          <w:trHeight w:val="340" w:hRule="exact"/>
        </w:trPr>
        <w:tc>
          <w:tcPr>
            <w:tcW w:w="9640" w:type="dxa"/>
            <w:gridSpan w:val="7"/>
            <w:tcBorders>
              <w:bottom w:val="single" w:color="auto" w:sz="8" w:space="0"/>
            </w:tcBorders>
          </w:tcPr>
          <w:p w14:paraId="42ECCFE5">
            <w:pPr>
              <w:jc w:val="center"/>
              <w:rPr>
                <w:rFonts w:ascii="Times New Roman" w:hAnsi="Times New Roman" w:eastAsia="黑体" w:cs="Times New Roman"/>
                <w:b/>
                <w:sz w:val="52"/>
                <w:szCs w:val="20"/>
              </w:rPr>
            </w:pPr>
          </w:p>
        </w:tc>
      </w:tr>
      <w:tr w14:paraId="08B54D18">
        <w:tblPrEx>
          <w:tblCellMar>
            <w:top w:w="0" w:type="dxa"/>
            <w:left w:w="0" w:type="dxa"/>
            <w:bottom w:w="0" w:type="dxa"/>
            <w:right w:w="0" w:type="dxa"/>
          </w:tblCellMar>
        </w:tblPrEx>
        <w:trPr>
          <w:trHeight w:val="1938" w:hRule="exact"/>
        </w:trPr>
        <w:tc>
          <w:tcPr>
            <w:tcW w:w="9640" w:type="dxa"/>
            <w:gridSpan w:val="7"/>
            <w:tcBorders>
              <w:top w:val="single" w:color="auto" w:sz="8" w:space="0"/>
            </w:tcBorders>
            <w:vAlign w:val="center"/>
          </w:tcPr>
          <w:p w14:paraId="078B18E2">
            <w:pPr>
              <w:jc w:val="center"/>
              <w:rPr>
                <w:rFonts w:ascii="Times New Roman" w:hAnsi="Times New Roman" w:eastAsia="黑体" w:cs="Times New Roman"/>
                <w:sz w:val="52"/>
                <w:szCs w:val="20"/>
              </w:rPr>
            </w:pPr>
          </w:p>
        </w:tc>
      </w:tr>
      <w:tr w14:paraId="373C8C3A">
        <w:tblPrEx>
          <w:tblCellMar>
            <w:top w:w="0" w:type="dxa"/>
            <w:left w:w="0" w:type="dxa"/>
            <w:bottom w:w="0" w:type="dxa"/>
            <w:right w:w="0" w:type="dxa"/>
          </w:tblCellMar>
        </w:tblPrEx>
        <w:trPr>
          <w:trHeight w:val="642" w:hRule="exact"/>
        </w:trPr>
        <w:tc>
          <w:tcPr>
            <w:tcW w:w="9640" w:type="dxa"/>
            <w:gridSpan w:val="7"/>
            <w:vAlign w:val="center"/>
          </w:tcPr>
          <w:p w14:paraId="536BA4D1">
            <w:pPr>
              <w:jc w:val="center"/>
              <w:rPr>
                <w:rFonts w:ascii="黑体" w:hAnsi="黑体" w:eastAsia="黑体" w:cs="Times New Roman"/>
                <w:sz w:val="52"/>
                <w:szCs w:val="52"/>
              </w:rPr>
            </w:pPr>
            <w:r>
              <w:rPr>
                <w:rFonts w:hint="eastAsia" w:ascii="黑体" w:hAnsi="黑体" w:eastAsia="黑体" w:cs="Times New Roman"/>
                <w:color w:val="000000"/>
                <w:sz w:val="36"/>
                <w:szCs w:val="36"/>
              </w:rPr>
              <w:t>双着丝粒染色体半自动分析估算辐射生物剂量技术规范</w:t>
            </w:r>
          </w:p>
          <w:p w14:paraId="2D6BFE2E">
            <w:pPr>
              <w:spacing w:line="680" w:lineRule="exact"/>
              <w:jc w:val="center"/>
              <w:textAlignment w:val="center"/>
              <w:rPr>
                <w:rFonts w:ascii="黑体" w:hAnsi="Times New Roman" w:eastAsia="黑体" w:cs="Times New Roman"/>
                <w:kern w:val="0"/>
                <w:sz w:val="52"/>
                <w:szCs w:val="20"/>
              </w:rPr>
            </w:pPr>
          </w:p>
          <w:p w14:paraId="6551B38A">
            <w:pPr>
              <w:spacing w:line="640" w:lineRule="exact"/>
              <w:jc w:val="center"/>
              <w:rPr>
                <w:rFonts w:ascii="黑体" w:hAnsi="Times New Roman" w:eastAsia="黑体" w:cs="Times New Roman"/>
                <w:spacing w:val="-6"/>
                <w:sz w:val="52"/>
                <w:szCs w:val="52"/>
              </w:rPr>
            </w:pPr>
          </w:p>
        </w:tc>
      </w:tr>
      <w:tr w14:paraId="2851767A">
        <w:tblPrEx>
          <w:tblCellMar>
            <w:top w:w="0" w:type="dxa"/>
            <w:left w:w="0" w:type="dxa"/>
            <w:bottom w:w="0" w:type="dxa"/>
            <w:right w:w="0" w:type="dxa"/>
          </w:tblCellMar>
        </w:tblPrEx>
        <w:trPr>
          <w:trHeight w:val="1446" w:hRule="exact"/>
        </w:trPr>
        <w:tc>
          <w:tcPr>
            <w:tcW w:w="9640" w:type="dxa"/>
            <w:gridSpan w:val="7"/>
            <w:vAlign w:val="center"/>
          </w:tcPr>
          <w:p w14:paraId="31273E4F">
            <w:pPr>
              <w:spacing w:before="120" w:beforeLines="50" w:after="120" w:afterLines="50" w:line="360" w:lineRule="auto"/>
              <w:jc w:val="center"/>
              <w:rPr>
                <w:rFonts w:ascii="Times New Roman" w:hAnsi="Times New Roman" w:eastAsia="黑体" w:cs="Times New Roman"/>
                <w:color w:val="000000"/>
                <w:sz w:val="28"/>
                <w:szCs w:val="28"/>
              </w:rPr>
            </w:pPr>
            <w:r>
              <w:rPr>
                <w:rFonts w:hint="eastAsia" w:ascii="Times New Roman" w:hAnsi="Times New Roman" w:eastAsia="黑体" w:cs="Times New Roman"/>
                <w:color w:val="000000"/>
                <w:sz w:val="24"/>
                <w:szCs w:val="24"/>
              </w:rPr>
              <w:t xml:space="preserve">Technical Specifications for radiation biodosimetry by semi-automatic analysis of dicentric chromosome </w:t>
            </w:r>
          </w:p>
          <w:p w14:paraId="2D362DEE">
            <w:pPr>
              <w:spacing w:line="0" w:lineRule="atLeast"/>
              <w:jc w:val="center"/>
              <w:rPr>
                <w:rFonts w:cs="Times New Roman" w:asciiTheme="minorEastAsia" w:hAnsiTheme="minorEastAsia"/>
                <w:color w:val="000000"/>
                <w:sz w:val="22"/>
                <w:szCs w:val="28"/>
              </w:rPr>
            </w:pPr>
            <w:r>
              <w:rPr>
                <w:rFonts w:hint="eastAsia" w:cs="Times New Roman" w:asciiTheme="minorEastAsia" w:hAnsiTheme="minorEastAsia"/>
                <w:color w:val="000000"/>
                <w:sz w:val="22"/>
                <w:szCs w:val="28"/>
              </w:rPr>
              <w:t>（征求意见稿）</w:t>
            </w:r>
          </w:p>
          <w:p w14:paraId="67EC14F5">
            <w:pPr>
              <w:spacing w:line="0" w:lineRule="atLeast"/>
              <w:jc w:val="center"/>
              <w:rPr>
                <w:rFonts w:cs="Times New Roman" w:asciiTheme="minorEastAsia" w:hAnsiTheme="minorEastAsia"/>
                <w:color w:val="000000"/>
                <w:sz w:val="28"/>
                <w:szCs w:val="28"/>
              </w:rPr>
            </w:pPr>
          </w:p>
        </w:tc>
      </w:tr>
      <w:tr w14:paraId="460BC632">
        <w:tblPrEx>
          <w:tblCellMar>
            <w:top w:w="0" w:type="dxa"/>
            <w:left w:w="0" w:type="dxa"/>
            <w:bottom w:w="0" w:type="dxa"/>
            <w:right w:w="0" w:type="dxa"/>
          </w:tblCellMar>
        </w:tblPrEx>
        <w:trPr>
          <w:trHeight w:val="454" w:hRule="exact"/>
        </w:trPr>
        <w:tc>
          <w:tcPr>
            <w:tcW w:w="9640" w:type="dxa"/>
            <w:gridSpan w:val="7"/>
            <w:vAlign w:val="center"/>
          </w:tcPr>
          <w:p w14:paraId="21216271">
            <w:pPr>
              <w:spacing w:line="360" w:lineRule="exact"/>
              <w:jc w:val="center"/>
              <w:rPr>
                <w:rFonts w:ascii="Calibri" w:hAnsi="Calibri" w:eastAsia="宋体" w:cs="Times New Roman"/>
                <w:b/>
                <w:sz w:val="28"/>
                <w:szCs w:val="28"/>
              </w:rPr>
            </w:pPr>
          </w:p>
        </w:tc>
      </w:tr>
    </w:tbl>
    <w:p w14:paraId="1CF14AAF">
      <w:pPr>
        <w:rPr>
          <w:rFonts w:ascii="Times New Roman" w:hAnsi="Times New Roman" w:eastAsia="宋体" w:cs="Times New Roman"/>
          <w:szCs w:val="20"/>
        </w:rPr>
      </w:pPr>
    </w:p>
    <w:p w14:paraId="78F84BC5">
      <w:pPr>
        <w:rPr>
          <w:rFonts w:ascii="Times New Roman" w:hAnsi="Times New Roman" w:eastAsia="宋体" w:cs="Times New Roman"/>
          <w:szCs w:val="20"/>
        </w:rPr>
      </w:pPr>
    </w:p>
    <w:p w14:paraId="101AF056">
      <w:pPr>
        <w:rPr>
          <w:rFonts w:ascii="Times New Roman" w:hAnsi="Times New Roman" w:eastAsia="宋体" w:cs="Times New Roman"/>
          <w:szCs w:val="20"/>
        </w:rPr>
      </w:pPr>
    </w:p>
    <w:p w14:paraId="3B1B3464">
      <w:pPr>
        <w:rPr>
          <w:rFonts w:ascii="仿宋" w:hAnsi="仿宋" w:eastAsia="仿宋"/>
          <w:sz w:val="30"/>
          <w:szCs w:val="30"/>
        </w:rPr>
      </w:pPr>
    </w:p>
    <w:p w14:paraId="4A29C9C6">
      <w:pPr>
        <w:rPr>
          <w:rFonts w:ascii="仿宋" w:hAnsi="仿宋" w:eastAsia="仿宋"/>
          <w:sz w:val="30"/>
          <w:szCs w:val="30"/>
        </w:rPr>
      </w:pPr>
    </w:p>
    <w:p w14:paraId="0C1FD4FC">
      <w:pPr>
        <w:rPr>
          <w:rFonts w:ascii="仿宋" w:hAnsi="仿宋" w:eastAsia="仿宋"/>
          <w:sz w:val="30"/>
          <w:szCs w:val="30"/>
        </w:rPr>
      </w:pPr>
    </w:p>
    <w:p w14:paraId="6627535F">
      <w:pPr>
        <w:rPr>
          <w:rFonts w:ascii="仿宋" w:hAnsi="仿宋" w:eastAsia="仿宋"/>
          <w:sz w:val="30"/>
          <w:szCs w:val="30"/>
        </w:rPr>
      </w:pPr>
    </w:p>
    <w:p w14:paraId="3B738648">
      <w:pPr>
        <w:rPr>
          <w:rFonts w:ascii="仿宋" w:hAnsi="仿宋" w:eastAsia="仿宋"/>
          <w:sz w:val="30"/>
          <w:szCs w:val="30"/>
        </w:rPr>
      </w:pPr>
    </w:p>
    <w:p w14:paraId="70C6EDFD">
      <w:pPr>
        <w:rPr>
          <w:rFonts w:ascii="仿宋" w:hAnsi="仿宋" w:eastAsia="仿宋"/>
          <w:sz w:val="30"/>
          <w:szCs w:val="30"/>
        </w:rPr>
      </w:pPr>
    </w:p>
    <w:p w14:paraId="56C3CFD3">
      <w:pPr>
        <w:rPr>
          <w:rFonts w:ascii="仿宋" w:hAnsi="仿宋" w:eastAsia="仿宋"/>
          <w:sz w:val="30"/>
          <w:szCs w:val="30"/>
        </w:rPr>
      </w:pPr>
    </w:p>
    <w:p w14:paraId="0E8B3E68">
      <w:pPr>
        <w:rPr>
          <w:rFonts w:ascii="仿宋" w:hAnsi="仿宋" w:eastAsia="仿宋"/>
          <w:sz w:val="30"/>
          <w:szCs w:val="30"/>
        </w:rPr>
      </w:pPr>
    </w:p>
    <w:p w14:paraId="5095EB93">
      <w:pPr>
        <w:rPr>
          <w:rFonts w:ascii="仿宋" w:hAnsi="仿宋" w:eastAsia="仿宋"/>
          <w:sz w:val="30"/>
          <w:szCs w:val="30"/>
        </w:rPr>
      </w:pPr>
    </w:p>
    <w:p w14:paraId="03D4B038">
      <w:pPr>
        <w:rPr>
          <w:rFonts w:ascii="仿宋" w:hAnsi="仿宋" w:eastAsia="仿宋"/>
          <w:sz w:val="30"/>
          <w:szCs w:val="30"/>
        </w:rPr>
      </w:pPr>
      <w:r>
        <w:rPr>
          <w:rFonts w:ascii="Times New Roman" w:hAnsi="Times New Roman" w:eastAsia="宋体" w:cs="Times New Roman"/>
          <w:sz w:val="20"/>
          <w:szCs w:val="20"/>
        </w:rPr>
        <mc:AlternateContent>
          <mc:Choice Requires="wps">
            <w:drawing>
              <wp:anchor distT="0" distB="0" distL="114300" distR="114300" simplePos="0" relativeHeight="251660288" behindDoc="0" locked="0" layoutInCell="0" allowOverlap="1">
                <wp:simplePos x="0" y="0"/>
                <wp:positionH relativeFrom="column">
                  <wp:posOffset>-457200</wp:posOffset>
                </wp:positionH>
                <wp:positionV relativeFrom="page">
                  <wp:posOffset>8317230</wp:posOffset>
                </wp:positionV>
                <wp:extent cx="6120130" cy="2160270"/>
                <wp:effectExtent l="0" t="0" r="6350" b="381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6120130" cy="2160270"/>
                        </a:xfrm>
                        <a:prstGeom prst="rect">
                          <a:avLst/>
                        </a:prstGeom>
                        <a:solidFill>
                          <a:srgbClr val="FFFFFF"/>
                        </a:solidFill>
                        <a:ln>
                          <a:noFill/>
                        </a:ln>
                        <a:effectLst/>
                      </wps:spPr>
                      <wps:txbx>
                        <w:txbxContent>
                          <w:tbl>
                            <w:tblPr>
                              <w:tblStyle w:val="10"/>
                              <w:tblW w:w="9639" w:type="dxa"/>
                              <w:jc w:val="center"/>
                              <w:tblLayout w:type="fixed"/>
                              <w:tblCellMar>
                                <w:top w:w="0" w:type="dxa"/>
                                <w:left w:w="0" w:type="dxa"/>
                                <w:bottom w:w="0" w:type="dxa"/>
                                <w:right w:w="0" w:type="dxa"/>
                              </w:tblCellMar>
                            </w:tblPr>
                            <w:tblGrid>
                              <w:gridCol w:w="3232"/>
                              <w:gridCol w:w="3175"/>
                              <w:gridCol w:w="3232"/>
                            </w:tblGrid>
                            <w:tr w14:paraId="1DAA30D3">
                              <w:tblPrEx>
                                <w:tblCellMar>
                                  <w:top w:w="0" w:type="dxa"/>
                                  <w:left w:w="0" w:type="dxa"/>
                                  <w:bottom w:w="0" w:type="dxa"/>
                                  <w:right w:w="0" w:type="dxa"/>
                                </w:tblCellMar>
                              </w:tblPrEx>
                              <w:trPr>
                                <w:trHeight w:val="312" w:hRule="exact"/>
                                <w:jc w:val="center"/>
                              </w:trPr>
                              <w:tc>
                                <w:tcPr>
                                  <w:tcW w:w="9639" w:type="dxa"/>
                                  <w:gridSpan w:val="3"/>
                                </w:tcPr>
                                <w:p w14:paraId="1CF916A7"/>
                              </w:tc>
                            </w:tr>
                            <w:tr w14:paraId="4513BA33">
                              <w:tblPrEx>
                                <w:tblCellMar>
                                  <w:top w:w="0" w:type="dxa"/>
                                  <w:left w:w="0" w:type="dxa"/>
                                  <w:bottom w:w="0" w:type="dxa"/>
                                  <w:right w:w="0" w:type="dxa"/>
                                </w:tblCellMar>
                              </w:tblPrEx>
                              <w:trPr>
                                <w:trHeight w:val="567" w:hRule="exact"/>
                                <w:jc w:val="center"/>
                              </w:trPr>
                              <w:tc>
                                <w:tcPr>
                                  <w:tcW w:w="9639" w:type="dxa"/>
                                  <w:gridSpan w:val="3"/>
                                </w:tcPr>
                                <w:p w14:paraId="56625691"/>
                              </w:tc>
                            </w:tr>
                            <w:tr w14:paraId="0A10C13D">
                              <w:tblPrEx>
                                <w:tblCellMar>
                                  <w:top w:w="0" w:type="dxa"/>
                                  <w:left w:w="0" w:type="dxa"/>
                                  <w:bottom w:w="0" w:type="dxa"/>
                                  <w:right w:w="0" w:type="dxa"/>
                                </w:tblCellMar>
                              </w:tblPrEx>
                              <w:trPr>
                                <w:trHeight w:val="567" w:hRule="exact"/>
                                <w:jc w:val="center"/>
                              </w:trPr>
                              <w:tc>
                                <w:tcPr>
                                  <w:tcW w:w="3232" w:type="dxa"/>
                                  <w:tcBorders>
                                    <w:bottom w:val="single" w:color="auto" w:sz="8" w:space="0"/>
                                  </w:tcBorders>
                                  <w:vAlign w:val="bottom"/>
                                </w:tcPr>
                                <w:p w14:paraId="1A33E215">
                                  <w:pPr>
                                    <w:rPr>
                                      <w:rFonts w:ascii="黑体" w:hAnsi="黑体" w:eastAsia="黑体"/>
                                    </w:rPr>
                                  </w:pPr>
                                  <w:r>
                                    <w:rPr>
                                      <w:rFonts w:hint="eastAsia" w:ascii="黑体" w:hAnsi="黑体" w:eastAsia="黑体"/>
                                      <w:spacing w:val="10"/>
                                      <w:sz w:val="28"/>
                                      <w:szCs w:val="28"/>
                                    </w:rPr>
                                    <w:t>20**</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发布</w:t>
                                  </w:r>
                                </w:p>
                              </w:tc>
                              <w:tc>
                                <w:tcPr>
                                  <w:tcW w:w="3175" w:type="dxa"/>
                                  <w:tcBorders>
                                    <w:bottom w:val="single" w:color="auto" w:sz="8" w:space="0"/>
                                  </w:tcBorders>
                                  <w:vAlign w:val="bottom"/>
                                </w:tcPr>
                                <w:p w14:paraId="065E3072">
                                  <w:pPr>
                                    <w:jc w:val="center"/>
                                    <w:rPr>
                                      <w:rFonts w:ascii="黑体" w:eastAsia="黑体"/>
                                      <w:sz w:val="28"/>
                                    </w:rPr>
                                  </w:pPr>
                                </w:p>
                              </w:tc>
                              <w:tc>
                                <w:tcPr>
                                  <w:tcW w:w="3232" w:type="dxa"/>
                                  <w:tcBorders>
                                    <w:bottom w:val="single" w:color="auto" w:sz="8" w:space="0"/>
                                  </w:tcBorders>
                                  <w:vAlign w:val="bottom"/>
                                </w:tcPr>
                                <w:p w14:paraId="3F7FE2F4">
                                  <w:pPr>
                                    <w:jc w:val="right"/>
                                    <w:rPr>
                                      <w:rFonts w:ascii="黑体" w:hAnsi="黑体" w:eastAsia="黑体"/>
                                    </w:rPr>
                                  </w:pPr>
                                  <w:r>
                                    <w:rPr>
                                      <w:rFonts w:hint="eastAsia" w:ascii="黑体" w:hAnsi="黑体" w:eastAsia="黑体"/>
                                      <w:spacing w:val="10"/>
                                      <w:sz w:val="28"/>
                                      <w:szCs w:val="28"/>
                                    </w:rPr>
                                    <w:t>20**</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实施</w:t>
                                  </w:r>
                                </w:p>
                              </w:tc>
                            </w:tr>
                            <w:tr w14:paraId="5D135673">
                              <w:tblPrEx>
                                <w:tblCellMar>
                                  <w:top w:w="0" w:type="dxa"/>
                                  <w:left w:w="0" w:type="dxa"/>
                                  <w:bottom w:w="0" w:type="dxa"/>
                                  <w:right w:w="0" w:type="dxa"/>
                                </w:tblCellMar>
                              </w:tblPrEx>
                              <w:trPr>
                                <w:trHeight w:val="567" w:hRule="exact"/>
                                <w:jc w:val="center"/>
                              </w:trPr>
                              <w:tc>
                                <w:tcPr>
                                  <w:tcW w:w="9639" w:type="dxa"/>
                                  <w:gridSpan w:val="3"/>
                                  <w:tcBorders>
                                    <w:top w:val="single" w:color="auto" w:sz="8" w:space="0"/>
                                  </w:tcBorders>
                                  <w:vAlign w:val="center"/>
                                </w:tcPr>
                                <w:p w14:paraId="7B856FEA">
                                  <w:pPr>
                                    <w:jc w:val="center"/>
                                    <w:rPr>
                                      <w:rFonts w:eastAsia="黑体"/>
                                      <w:spacing w:val="30"/>
                                      <w:sz w:val="32"/>
                                    </w:rPr>
                                  </w:pPr>
                                </w:p>
                              </w:tc>
                            </w:tr>
                            <w:tr w14:paraId="6643FA45">
                              <w:tblPrEx>
                                <w:tblCellMar>
                                  <w:top w:w="0" w:type="dxa"/>
                                  <w:left w:w="0" w:type="dxa"/>
                                  <w:bottom w:w="0" w:type="dxa"/>
                                  <w:right w:w="0" w:type="dxa"/>
                                </w:tblCellMar>
                              </w:tblPrEx>
                              <w:trPr>
                                <w:trHeight w:val="380" w:hRule="exact"/>
                                <w:jc w:val="center"/>
                              </w:trPr>
                              <w:tc>
                                <w:tcPr>
                                  <w:tcW w:w="9639" w:type="dxa"/>
                                  <w:gridSpan w:val="3"/>
                                </w:tcPr>
                                <w:p w14:paraId="609A60C1">
                                  <w:pPr>
                                    <w:spacing w:line="360" w:lineRule="exact"/>
                                    <w:jc w:val="center"/>
                                    <w:rPr>
                                      <w:sz w:val="30"/>
                                      <w:szCs w:val="30"/>
                                    </w:rPr>
                                  </w:pPr>
                                  <w:r>
                                    <w:rPr>
                                      <w:rFonts w:hint="eastAsia" w:eastAsia="黑体"/>
                                      <w:spacing w:val="40"/>
                                      <w:sz w:val="32"/>
                                      <w:szCs w:val="32"/>
                                    </w:rPr>
                                    <w:t>中国辐射防护学会</w:t>
                                  </w:r>
                                  <w:r>
                                    <w:rPr>
                                      <w:rFonts w:hint="eastAsia" w:eastAsia="黑体"/>
                                      <w:spacing w:val="40"/>
                                      <w:sz w:val="28"/>
                                      <w:szCs w:val="28"/>
                                    </w:rPr>
                                    <w:t>发布</w:t>
                                  </w:r>
                                </w:p>
                              </w:tc>
                            </w:tr>
                          </w:tbl>
                          <w:p w14:paraId="056B40B0"/>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6pt;margin-top:654.9pt;height:170.1pt;width:481.9pt;mso-position-vertical-relative:page;z-index:251660288;mso-width-relative:page;mso-height-relative:page;" fillcolor="#FFFFFF" filled="t" stroked="f" coordsize="21600,21600" o:allowincell="f" o:gfxdata="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gM1SvbAAAADQEAAA8AAAAAAAAAAQAgAAAAIgAAAGRycy9kb3ducmV2LnhtbFBLAQIUABQA&#10;AAAIAIdO4kAKHjVEJgIAAD8EAAAOAAAAAAAAAAEAIAAAACoBAABkcnMvZTJvRG9jLnhtbFBLBQYA&#10;AAAABgAGAFkBAADCBQAAAAA=&#10;">
                <v:fill on="t" focussize="0,0"/>
                <v:stroke on="f"/>
                <v:imagedata o:title=""/>
                <o:lock v:ext="edit" aspectratio="f"/>
                <v:textbox inset="0mm,0mm,0mm,0mm">
                  <w:txbxContent>
                    <w:tbl>
                      <w:tblPr>
                        <w:tblStyle w:val="10"/>
                        <w:tblW w:w="9639" w:type="dxa"/>
                        <w:jc w:val="center"/>
                        <w:tblLayout w:type="fixed"/>
                        <w:tblCellMar>
                          <w:top w:w="0" w:type="dxa"/>
                          <w:left w:w="0" w:type="dxa"/>
                          <w:bottom w:w="0" w:type="dxa"/>
                          <w:right w:w="0" w:type="dxa"/>
                        </w:tblCellMar>
                      </w:tblPr>
                      <w:tblGrid>
                        <w:gridCol w:w="3232"/>
                        <w:gridCol w:w="3175"/>
                        <w:gridCol w:w="3232"/>
                      </w:tblGrid>
                      <w:tr w14:paraId="1DAA30D3">
                        <w:tblPrEx>
                          <w:tblCellMar>
                            <w:top w:w="0" w:type="dxa"/>
                            <w:left w:w="0" w:type="dxa"/>
                            <w:bottom w:w="0" w:type="dxa"/>
                            <w:right w:w="0" w:type="dxa"/>
                          </w:tblCellMar>
                        </w:tblPrEx>
                        <w:trPr>
                          <w:trHeight w:val="312" w:hRule="exact"/>
                          <w:jc w:val="center"/>
                        </w:trPr>
                        <w:tc>
                          <w:tcPr>
                            <w:tcW w:w="9639" w:type="dxa"/>
                            <w:gridSpan w:val="3"/>
                          </w:tcPr>
                          <w:p w14:paraId="1CF916A7"/>
                        </w:tc>
                      </w:tr>
                      <w:tr w14:paraId="4513BA33">
                        <w:tblPrEx>
                          <w:tblCellMar>
                            <w:top w:w="0" w:type="dxa"/>
                            <w:left w:w="0" w:type="dxa"/>
                            <w:bottom w:w="0" w:type="dxa"/>
                            <w:right w:w="0" w:type="dxa"/>
                          </w:tblCellMar>
                        </w:tblPrEx>
                        <w:trPr>
                          <w:trHeight w:val="567" w:hRule="exact"/>
                          <w:jc w:val="center"/>
                        </w:trPr>
                        <w:tc>
                          <w:tcPr>
                            <w:tcW w:w="9639" w:type="dxa"/>
                            <w:gridSpan w:val="3"/>
                          </w:tcPr>
                          <w:p w14:paraId="56625691"/>
                        </w:tc>
                      </w:tr>
                      <w:tr w14:paraId="0A10C13D">
                        <w:tblPrEx>
                          <w:tblCellMar>
                            <w:top w:w="0" w:type="dxa"/>
                            <w:left w:w="0" w:type="dxa"/>
                            <w:bottom w:w="0" w:type="dxa"/>
                            <w:right w:w="0" w:type="dxa"/>
                          </w:tblCellMar>
                        </w:tblPrEx>
                        <w:trPr>
                          <w:trHeight w:val="567" w:hRule="exact"/>
                          <w:jc w:val="center"/>
                        </w:trPr>
                        <w:tc>
                          <w:tcPr>
                            <w:tcW w:w="3232" w:type="dxa"/>
                            <w:tcBorders>
                              <w:bottom w:val="single" w:color="auto" w:sz="8" w:space="0"/>
                            </w:tcBorders>
                            <w:vAlign w:val="bottom"/>
                          </w:tcPr>
                          <w:p w14:paraId="1A33E215">
                            <w:pPr>
                              <w:rPr>
                                <w:rFonts w:ascii="黑体" w:hAnsi="黑体" w:eastAsia="黑体"/>
                              </w:rPr>
                            </w:pPr>
                            <w:r>
                              <w:rPr>
                                <w:rFonts w:hint="eastAsia" w:ascii="黑体" w:hAnsi="黑体" w:eastAsia="黑体"/>
                                <w:spacing w:val="10"/>
                                <w:sz w:val="28"/>
                                <w:szCs w:val="28"/>
                              </w:rPr>
                              <w:t>20**</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发布</w:t>
                            </w:r>
                          </w:p>
                        </w:tc>
                        <w:tc>
                          <w:tcPr>
                            <w:tcW w:w="3175" w:type="dxa"/>
                            <w:tcBorders>
                              <w:bottom w:val="single" w:color="auto" w:sz="8" w:space="0"/>
                            </w:tcBorders>
                            <w:vAlign w:val="bottom"/>
                          </w:tcPr>
                          <w:p w14:paraId="065E3072">
                            <w:pPr>
                              <w:jc w:val="center"/>
                              <w:rPr>
                                <w:rFonts w:ascii="黑体" w:eastAsia="黑体"/>
                                <w:sz w:val="28"/>
                              </w:rPr>
                            </w:pPr>
                          </w:p>
                        </w:tc>
                        <w:tc>
                          <w:tcPr>
                            <w:tcW w:w="3232" w:type="dxa"/>
                            <w:tcBorders>
                              <w:bottom w:val="single" w:color="auto" w:sz="8" w:space="0"/>
                            </w:tcBorders>
                            <w:vAlign w:val="bottom"/>
                          </w:tcPr>
                          <w:p w14:paraId="3F7FE2F4">
                            <w:pPr>
                              <w:jc w:val="right"/>
                              <w:rPr>
                                <w:rFonts w:ascii="黑体" w:hAnsi="黑体" w:eastAsia="黑体"/>
                              </w:rPr>
                            </w:pPr>
                            <w:r>
                              <w:rPr>
                                <w:rFonts w:hint="eastAsia" w:ascii="黑体" w:hAnsi="黑体" w:eastAsia="黑体"/>
                                <w:spacing w:val="10"/>
                                <w:sz w:val="28"/>
                                <w:szCs w:val="28"/>
                              </w:rPr>
                              <w:t>20**</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w:t>
                            </w:r>
                            <w:r>
                              <w:rPr>
                                <w:rFonts w:hint="eastAsia" w:ascii="黑体" w:hAnsi="黑体" w:eastAsia="黑体"/>
                                <w:spacing w:val="10"/>
                                <w:sz w:val="28"/>
                                <w:szCs w:val="28"/>
                              </w:rPr>
                              <w:t>**</w:t>
                            </w:r>
                            <w:r>
                              <w:rPr>
                                <w:rFonts w:hint="eastAsia" w:ascii="黑体" w:hAnsi="黑体" w:eastAsia="黑体"/>
                                <w:sz w:val="28"/>
                              </w:rPr>
                              <w:t>实施</w:t>
                            </w:r>
                          </w:p>
                        </w:tc>
                      </w:tr>
                      <w:tr w14:paraId="5D135673">
                        <w:tblPrEx>
                          <w:tblCellMar>
                            <w:top w:w="0" w:type="dxa"/>
                            <w:left w:w="0" w:type="dxa"/>
                            <w:bottom w:w="0" w:type="dxa"/>
                            <w:right w:w="0" w:type="dxa"/>
                          </w:tblCellMar>
                        </w:tblPrEx>
                        <w:trPr>
                          <w:trHeight w:val="567" w:hRule="exact"/>
                          <w:jc w:val="center"/>
                        </w:trPr>
                        <w:tc>
                          <w:tcPr>
                            <w:tcW w:w="9639" w:type="dxa"/>
                            <w:gridSpan w:val="3"/>
                            <w:tcBorders>
                              <w:top w:val="single" w:color="auto" w:sz="8" w:space="0"/>
                            </w:tcBorders>
                            <w:vAlign w:val="center"/>
                          </w:tcPr>
                          <w:p w14:paraId="7B856FEA">
                            <w:pPr>
                              <w:jc w:val="center"/>
                              <w:rPr>
                                <w:rFonts w:eastAsia="黑体"/>
                                <w:spacing w:val="30"/>
                                <w:sz w:val="32"/>
                              </w:rPr>
                            </w:pPr>
                          </w:p>
                        </w:tc>
                      </w:tr>
                      <w:tr w14:paraId="6643FA45">
                        <w:tblPrEx>
                          <w:tblCellMar>
                            <w:top w:w="0" w:type="dxa"/>
                            <w:left w:w="0" w:type="dxa"/>
                            <w:bottom w:w="0" w:type="dxa"/>
                            <w:right w:w="0" w:type="dxa"/>
                          </w:tblCellMar>
                        </w:tblPrEx>
                        <w:trPr>
                          <w:trHeight w:val="380" w:hRule="exact"/>
                          <w:jc w:val="center"/>
                        </w:trPr>
                        <w:tc>
                          <w:tcPr>
                            <w:tcW w:w="9639" w:type="dxa"/>
                            <w:gridSpan w:val="3"/>
                          </w:tcPr>
                          <w:p w14:paraId="609A60C1">
                            <w:pPr>
                              <w:spacing w:line="360" w:lineRule="exact"/>
                              <w:jc w:val="center"/>
                              <w:rPr>
                                <w:sz w:val="30"/>
                                <w:szCs w:val="30"/>
                              </w:rPr>
                            </w:pPr>
                            <w:r>
                              <w:rPr>
                                <w:rFonts w:hint="eastAsia" w:eastAsia="黑体"/>
                                <w:spacing w:val="40"/>
                                <w:sz w:val="32"/>
                                <w:szCs w:val="32"/>
                              </w:rPr>
                              <w:t>中国辐射防护学会</w:t>
                            </w:r>
                            <w:r>
                              <w:rPr>
                                <w:rFonts w:hint="eastAsia" w:eastAsia="黑体"/>
                                <w:spacing w:val="40"/>
                                <w:sz w:val="28"/>
                                <w:szCs w:val="28"/>
                              </w:rPr>
                              <w:t>发布</w:t>
                            </w:r>
                          </w:p>
                        </w:tc>
                      </w:tr>
                    </w:tbl>
                    <w:p w14:paraId="056B40B0"/>
                  </w:txbxContent>
                </v:textbox>
              </v:shape>
            </w:pict>
          </mc:Fallback>
        </mc:AlternateContent>
      </w:r>
    </w:p>
    <w:p w14:paraId="506415F3">
      <w:pPr>
        <w:rPr>
          <w:rFonts w:ascii="Times New Roman" w:hAnsi="Times New Roman" w:cs="Times New Roman"/>
        </w:rPr>
      </w:pPr>
    </w:p>
    <w:p w14:paraId="53BC2797">
      <w:pPr>
        <w:pStyle w:val="24"/>
      </w:pPr>
      <w:r>
        <w:br w:type="page"/>
      </w:r>
    </w:p>
    <w:p w14:paraId="3B534759">
      <w:pPr>
        <w:sectPr>
          <w:headerReference r:id="rId3" w:type="default"/>
          <w:pgSz w:w="11906" w:h="16838"/>
          <w:pgMar w:top="1440" w:right="1797" w:bottom="1440" w:left="1797" w:header="851" w:footer="992" w:gutter="0"/>
          <w:cols w:space="425" w:num="1"/>
          <w:docGrid w:linePitch="312" w:charSpace="0"/>
        </w:sectPr>
      </w:pPr>
    </w:p>
    <w:sdt>
      <w:sdtPr>
        <w:rPr>
          <w:rFonts w:ascii="宋体" w:hAnsi="宋体" w:eastAsia="宋体" w:cstheme="minorBidi"/>
          <w:kern w:val="2"/>
          <w:sz w:val="21"/>
          <w:szCs w:val="22"/>
          <w:lang w:val="en-US" w:eastAsia="zh-CN" w:bidi="ar-SA"/>
        </w:rPr>
        <w:id w:val="147451145"/>
        <w15:color w:val="DBDBDB"/>
      </w:sdtPr>
      <w:sdtEndPr>
        <w:rPr>
          <w:rFonts w:asciiTheme="minorHAnsi" w:hAnsiTheme="minorHAnsi" w:eastAsiaTheme="minorEastAsia" w:cstheme="minorBidi"/>
          <w:b/>
          <w:kern w:val="2"/>
          <w:sz w:val="21"/>
          <w:szCs w:val="22"/>
          <w:lang w:val="en-US" w:eastAsia="zh-CN" w:bidi="ar-SA"/>
        </w:rPr>
      </w:sdtEndPr>
      <w:sdtContent>
        <w:p w14:paraId="361751FD">
          <w:pPr>
            <w:spacing w:before="0" w:beforeLines="0" w:after="0" w:afterLines="0" w:line="240" w:lineRule="auto"/>
            <w:ind w:left="0" w:leftChars="0" w:right="0" w:rightChars="0" w:firstLine="0" w:firstLineChars="0"/>
            <w:jc w:val="center"/>
            <w:rPr>
              <w:sz w:val="36"/>
              <w:szCs w:val="40"/>
            </w:rPr>
          </w:pPr>
          <w:r>
            <w:rPr>
              <w:rFonts w:ascii="宋体" w:hAnsi="宋体" w:eastAsia="宋体"/>
              <w:sz w:val="36"/>
              <w:szCs w:val="40"/>
            </w:rPr>
            <w:t>目</w:t>
          </w:r>
          <w:r>
            <w:rPr>
              <w:rFonts w:hint="eastAsia" w:ascii="宋体" w:hAnsi="宋体" w:eastAsia="宋体"/>
              <w:sz w:val="36"/>
              <w:szCs w:val="40"/>
              <w:lang w:val="en-US" w:eastAsia="zh-CN"/>
            </w:rPr>
            <w:t xml:space="preserve"> </w:t>
          </w:r>
          <w:r>
            <w:rPr>
              <w:rFonts w:ascii="宋体" w:hAnsi="宋体" w:eastAsia="宋体"/>
              <w:sz w:val="36"/>
              <w:szCs w:val="40"/>
            </w:rPr>
            <w:t>录</w:t>
          </w:r>
        </w:p>
        <w:p w14:paraId="174F4DBB">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fldChar w:fldCharType="begin"/>
          </w:r>
          <w:r>
            <w:instrText xml:space="preserve">TOC \o "1-2" \h \u </w:instrText>
          </w:r>
          <w:r>
            <w:fldChar w:fldCharType="separate"/>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_Toc10823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前  言</w:t>
          </w:r>
          <w:r>
            <w:rPr>
              <w:rFonts w:hint="eastAsia" w:ascii="Times New Roman" w:hAnsiTheme="minorHAnsi" w:eastAsiaTheme="minorEastAsia" w:cstheme="minorBidi"/>
              <w:b w:val="0"/>
              <w:bCs w:val="0"/>
              <w:sz w:val="21"/>
              <w:szCs w:val="22"/>
            </w:rPr>
            <w:tab/>
          </w:r>
          <w:r>
            <w:rPr>
              <w:rFonts w:hint="default" w:ascii="Times New Roman" w:hAnsi="Times New Roman" w:eastAsia="微软雅黑" w:cs="Times New Roman"/>
              <w:b w:val="0"/>
              <w:bCs w:val="0"/>
              <w:sz w:val="21"/>
              <w:szCs w:val="22"/>
            </w:rPr>
            <w:t>Ⅱ</w:t>
          </w:r>
          <w:r>
            <w:rPr>
              <w:rFonts w:hint="eastAsia" w:ascii="Times New Roman" w:hAnsiTheme="minorHAnsi" w:eastAsiaTheme="minorEastAsia" w:cstheme="minorBidi"/>
              <w:b w:val="0"/>
              <w:bCs w:val="0"/>
              <w:sz w:val="21"/>
              <w:szCs w:val="22"/>
            </w:rPr>
            <w:fldChar w:fldCharType="end"/>
          </w:r>
        </w:p>
        <w:p w14:paraId="14BA8B4E">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_Toc11809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i w:val="0"/>
              <w:sz w:val="21"/>
              <w:szCs w:val="22"/>
            </w:rPr>
            <w:t xml:space="preserve">1 </w:t>
          </w:r>
          <w:r>
            <w:rPr>
              <w:rFonts w:hint="eastAsia" w:ascii="Times New Roman" w:hAnsiTheme="minorHAnsi" w:eastAsiaTheme="minorEastAsia" w:cstheme="minorBidi"/>
              <w:b w:val="0"/>
              <w:bCs w:val="0"/>
              <w:sz w:val="21"/>
              <w:szCs w:val="22"/>
            </w:rPr>
            <w:t>范围</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_Toc11809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1</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044AC34E">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_Toc26624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i w:val="0"/>
              <w:sz w:val="21"/>
              <w:szCs w:val="22"/>
            </w:rPr>
            <w:t xml:space="preserve">2 </w:t>
          </w:r>
          <w:r>
            <w:rPr>
              <w:rFonts w:hint="eastAsia" w:ascii="Times New Roman" w:hAnsiTheme="minorHAnsi" w:eastAsiaTheme="minorEastAsia" w:cstheme="minorBidi"/>
              <w:b w:val="0"/>
              <w:bCs w:val="0"/>
              <w:sz w:val="21"/>
              <w:szCs w:val="22"/>
            </w:rPr>
            <w:t>规范性引用文件</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_Toc26624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1</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17FF6AC5">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_Toc27464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i w:val="0"/>
              <w:sz w:val="21"/>
              <w:szCs w:val="22"/>
            </w:rPr>
            <w:t xml:space="preserve">3 </w:t>
          </w:r>
          <w:r>
            <w:rPr>
              <w:rFonts w:hint="eastAsia" w:ascii="Times New Roman" w:hAnsiTheme="minorHAnsi" w:eastAsiaTheme="minorEastAsia" w:cstheme="minorBidi"/>
              <w:b w:val="0"/>
              <w:bCs w:val="0"/>
              <w:sz w:val="21"/>
              <w:szCs w:val="22"/>
            </w:rPr>
            <w:t>术语和定义</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_Toc27464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1</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1FF4FFCF">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_Toc2868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 xml:space="preserve">4  </w:t>
          </w:r>
          <w:r>
            <w:rPr>
              <w:rFonts w:hint="eastAsia" w:ascii="Times New Roman" w:hAnsiTheme="minorHAnsi" w:eastAsiaTheme="minorEastAsia" w:cstheme="minorBidi"/>
              <w:b w:val="0"/>
              <w:bCs w:val="0"/>
              <w:kern w:val="2"/>
              <w:sz w:val="21"/>
              <w:szCs w:val="22"/>
            </w:rPr>
            <w:t>规范性技术要素</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_Toc2868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2</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2CFE4A72">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_Toc14553 </w:instrText>
          </w:r>
          <w:r>
            <w:rPr>
              <w:rFonts w:hint="eastAsia" w:ascii="Times New Roman"/>
            </w:rPr>
            <w:fldChar w:fldCharType="separate"/>
          </w:r>
          <w:r>
            <w:rPr>
              <w:rFonts w:hint="eastAsia" w:ascii="Times New Roman"/>
            </w:rPr>
            <w:t xml:space="preserve">4.1 </w:t>
          </w:r>
          <w:r>
            <w:rPr>
              <w:rFonts w:hint="eastAsia" w:ascii="Times New Roman" w:hAnsiTheme="minorHAnsi" w:cstheme="minorBidi"/>
              <w:kern w:val="2"/>
            </w:rPr>
            <w:t>主要</w:t>
          </w:r>
          <w:r>
            <w:rPr>
              <w:rFonts w:hint="eastAsia" w:ascii="Times New Roman"/>
            </w:rPr>
            <w:t>仪器</w:t>
          </w:r>
          <w:r>
            <w:rPr>
              <w:rFonts w:hint="eastAsia" w:ascii="Times New Roman" w:hAnsiTheme="minorHAnsi" w:cstheme="minorBidi"/>
              <w:kern w:val="2"/>
              <w:lang w:val="en-US" w:eastAsia="zh-CN"/>
            </w:rPr>
            <w:t>和</w:t>
          </w:r>
          <w:r>
            <w:rPr>
              <w:rFonts w:hint="eastAsia" w:ascii="Times New Roman" w:hAnsiTheme="minorHAnsi" w:cstheme="minorBidi"/>
              <w:kern w:val="2"/>
            </w:rPr>
            <w:t>试剂配制</w:t>
          </w:r>
          <w:r>
            <w:rPr>
              <w:rFonts w:hint="eastAsia" w:ascii="Times New Roman"/>
            </w:rPr>
            <w:tab/>
          </w:r>
          <w:r>
            <w:rPr>
              <w:rFonts w:hint="eastAsia" w:ascii="Times New Roman"/>
            </w:rPr>
            <w:fldChar w:fldCharType="begin"/>
          </w:r>
          <w:r>
            <w:rPr>
              <w:rFonts w:hint="eastAsia" w:ascii="Times New Roman"/>
            </w:rPr>
            <w:instrText xml:space="preserve"> PAGEREF _Toc14553 \h </w:instrText>
          </w:r>
          <w:r>
            <w:rPr>
              <w:rFonts w:hint="eastAsia" w:ascii="Times New Roman"/>
            </w:rPr>
            <w:fldChar w:fldCharType="separate"/>
          </w:r>
          <w:r>
            <w:rPr>
              <w:rFonts w:hint="eastAsia" w:ascii="Times New Roman"/>
            </w:rPr>
            <w:t>2</w:t>
          </w:r>
          <w:r>
            <w:rPr>
              <w:rFonts w:hint="eastAsia" w:ascii="Times New Roman"/>
            </w:rPr>
            <w:fldChar w:fldCharType="end"/>
          </w:r>
          <w:r>
            <w:rPr>
              <w:rFonts w:hint="eastAsia" w:ascii="Times New Roman"/>
            </w:rPr>
            <w:fldChar w:fldCharType="end"/>
          </w:r>
        </w:p>
        <w:p w14:paraId="1B4356DE">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_Toc10147 </w:instrText>
          </w:r>
          <w:r>
            <w:rPr>
              <w:rFonts w:hint="eastAsia" w:ascii="Times New Roman"/>
            </w:rPr>
            <w:fldChar w:fldCharType="separate"/>
          </w:r>
          <w:r>
            <w:rPr>
              <w:rFonts w:hint="eastAsia" w:ascii="Times New Roman"/>
            </w:rPr>
            <w:t>4.2 外周血样品的采集、保存和运输</w:t>
          </w:r>
          <w:r>
            <w:rPr>
              <w:rFonts w:hint="eastAsia" w:ascii="Times New Roman"/>
            </w:rPr>
            <w:tab/>
          </w:r>
          <w:r>
            <w:rPr>
              <w:rFonts w:hint="eastAsia" w:ascii="Times New Roman"/>
            </w:rPr>
            <w:fldChar w:fldCharType="begin"/>
          </w:r>
          <w:r>
            <w:rPr>
              <w:rFonts w:hint="eastAsia" w:ascii="Times New Roman"/>
            </w:rPr>
            <w:instrText xml:space="preserve"> PAGEREF _Toc10147 \h </w:instrText>
          </w:r>
          <w:r>
            <w:rPr>
              <w:rFonts w:hint="eastAsia" w:ascii="Times New Roman"/>
            </w:rPr>
            <w:fldChar w:fldCharType="separate"/>
          </w:r>
          <w:r>
            <w:rPr>
              <w:rFonts w:hint="eastAsia" w:ascii="Times New Roman"/>
            </w:rPr>
            <w:t>2</w:t>
          </w:r>
          <w:r>
            <w:rPr>
              <w:rFonts w:hint="eastAsia" w:ascii="Times New Roman"/>
            </w:rPr>
            <w:fldChar w:fldCharType="end"/>
          </w:r>
          <w:r>
            <w:rPr>
              <w:rFonts w:hint="eastAsia" w:ascii="Times New Roman"/>
            </w:rPr>
            <w:fldChar w:fldCharType="end"/>
          </w:r>
        </w:p>
        <w:p w14:paraId="2C15BB09">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_Toc21572 </w:instrText>
          </w:r>
          <w:r>
            <w:rPr>
              <w:rFonts w:hint="eastAsia" w:ascii="Times New Roman"/>
            </w:rPr>
            <w:fldChar w:fldCharType="separate"/>
          </w:r>
          <w:r>
            <w:rPr>
              <w:rFonts w:hint="eastAsia" w:ascii="Times New Roman"/>
            </w:rPr>
            <w:t>4.3 照射条件和微量全血培养</w:t>
          </w:r>
          <w:r>
            <w:rPr>
              <w:rFonts w:hint="eastAsia" w:ascii="Times New Roman"/>
            </w:rPr>
            <w:tab/>
          </w:r>
          <w:r>
            <w:rPr>
              <w:rFonts w:hint="eastAsia" w:ascii="Times New Roman"/>
            </w:rPr>
            <w:fldChar w:fldCharType="begin"/>
          </w:r>
          <w:r>
            <w:rPr>
              <w:rFonts w:hint="eastAsia" w:ascii="Times New Roman"/>
            </w:rPr>
            <w:instrText xml:space="preserve"> PAGEREF _Toc21572 \h </w:instrText>
          </w:r>
          <w:r>
            <w:rPr>
              <w:rFonts w:hint="eastAsia" w:ascii="Times New Roman"/>
            </w:rPr>
            <w:fldChar w:fldCharType="separate"/>
          </w:r>
          <w:r>
            <w:rPr>
              <w:rFonts w:hint="eastAsia" w:ascii="Times New Roman"/>
            </w:rPr>
            <w:t>2</w:t>
          </w:r>
          <w:r>
            <w:rPr>
              <w:rFonts w:hint="eastAsia" w:ascii="Times New Roman"/>
            </w:rPr>
            <w:fldChar w:fldCharType="end"/>
          </w:r>
          <w:r>
            <w:rPr>
              <w:rFonts w:hint="eastAsia" w:ascii="Times New Roman"/>
            </w:rPr>
            <w:fldChar w:fldCharType="end"/>
          </w:r>
        </w:p>
        <w:p w14:paraId="508E63BD">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_Toc718 </w:instrText>
          </w:r>
          <w:r>
            <w:rPr>
              <w:rFonts w:hint="eastAsia" w:ascii="Times New Roman"/>
            </w:rPr>
            <w:fldChar w:fldCharType="separate"/>
          </w:r>
          <w:r>
            <w:rPr>
              <w:rFonts w:hint="eastAsia" w:ascii="Times New Roman"/>
            </w:rPr>
            <w:t>4.4 染色体标本制备</w:t>
          </w:r>
          <w:r>
            <w:rPr>
              <w:rFonts w:hint="eastAsia" w:ascii="Times New Roman"/>
            </w:rPr>
            <w:tab/>
          </w:r>
          <w:r>
            <w:rPr>
              <w:rFonts w:hint="eastAsia" w:ascii="Times New Roman"/>
            </w:rPr>
            <w:fldChar w:fldCharType="begin"/>
          </w:r>
          <w:r>
            <w:rPr>
              <w:rFonts w:hint="eastAsia" w:ascii="Times New Roman"/>
            </w:rPr>
            <w:instrText xml:space="preserve"> PAGEREF _Toc718 \h </w:instrText>
          </w:r>
          <w:r>
            <w:rPr>
              <w:rFonts w:hint="eastAsia" w:ascii="Times New Roman"/>
            </w:rPr>
            <w:fldChar w:fldCharType="separate"/>
          </w:r>
          <w:r>
            <w:rPr>
              <w:rFonts w:hint="eastAsia" w:ascii="Times New Roman"/>
            </w:rPr>
            <w:t>3</w:t>
          </w:r>
          <w:r>
            <w:rPr>
              <w:rFonts w:hint="eastAsia" w:ascii="Times New Roman"/>
            </w:rPr>
            <w:fldChar w:fldCharType="end"/>
          </w:r>
          <w:r>
            <w:rPr>
              <w:rFonts w:hint="eastAsia" w:ascii="Times New Roman"/>
            </w:rPr>
            <w:fldChar w:fldCharType="end"/>
          </w:r>
        </w:p>
        <w:p w14:paraId="131AA4AF">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_Toc15259 </w:instrText>
          </w:r>
          <w:r>
            <w:rPr>
              <w:rFonts w:hint="eastAsia" w:ascii="Times New Roman"/>
            </w:rPr>
            <w:fldChar w:fldCharType="separate"/>
          </w:r>
          <w:r>
            <w:rPr>
              <w:rFonts w:hint="eastAsia" w:ascii="Times New Roman"/>
            </w:rPr>
            <w:t>4.5 双着丝粒染色体半自动分析</w:t>
          </w:r>
          <w:r>
            <w:rPr>
              <w:rFonts w:hint="eastAsia" w:ascii="Times New Roman"/>
            </w:rPr>
            <w:tab/>
          </w:r>
          <w:r>
            <w:rPr>
              <w:rFonts w:hint="eastAsia" w:ascii="Times New Roman"/>
            </w:rPr>
            <w:fldChar w:fldCharType="begin"/>
          </w:r>
          <w:r>
            <w:rPr>
              <w:rFonts w:hint="eastAsia" w:ascii="Times New Roman"/>
            </w:rPr>
            <w:instrText xml:space="preserve"> PAGEREF _Toc15259 \h </w:instrText>
          </w:r>
          <w:r>
            <w:rPr>
              <w:rFonts w:hint="eastAsia" w:ascii="Times New Roman"/>
            </w:rPr>
            <w:fldChar w:fldCharType="separate"/>
          </w:r>
          <w:r>
            <w:rPr>
              <w:rFonts w:hint="eastAsia" w:ascii="Times New Roman"/>
            </w:rPr>
            <w:t>3</w:t>
          </w:r>
          <w:r>
            <w:rPr>
              <w:rFonts w:hint="eastAsia" w:ascii="Times New Roman"/>
            </w:rPr>
            <w:fldChar w:fldCharType="end"/>
          </w:r>
          <w:r>
            <w:rPr>
              <w:rFonts w:hint="eastAsia" w:ascii="Times New Roman"/>
            </w:rPr>
            <w:fldChar w:fldCharType="end"/>
          </w:r>
        </w:p>
        <w:p w14:paraId="1009D10D">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_Toc24295 </w:instrText>
          </w:r>
          <w:r>
            <w:rPr>
              <w:rFonts w:hint="eastAsia" w:ascii="Times New Roman"/>
            </w:rPr>
            <w:fldChar w:fldCharType="separate"/>
          </w:r>
          <w:r>
            <w:rPr>
              <w:rFonts w:hint="eastAsia" w:ascii="Times New Roman"/>
            </w:rPr>
            <w:t xml:space="preserve">4.6 </w:t>
          </w:r>
          <w:r>
            <w:rPr>
              <w:rFonts w:hint="eastAsia" w:ascii="Times New Roman"/>
              <w:lang w:val="en-US" w:eastAsia="zh-CN"/>
            </w:rPr>
            <w:t>拟合</w:t>
          </w:r>
          <w:r>
            <w:rPr>
              <w:rFonts w:hint="eastAsia" w:ascii="Times New Roman"/>
            </w:rPr>
            <w:t>剂量-效应曲线</w:t>
          </w:r>
          <w:r>
            <w:rPr>
              <w:rFonts w:hint="eastAsia" w:ascii="Times New Roman"/>
            </w:rPr>
            <w:tab/>
          </w:r>
          <w:r>
            <w:rPr>
              <w:rFonts w:hint="eastAsia" w:ascii="Times New Roman"/>
            </w:rPr>
            <w:fldChar w:fldCharType="begin"/>
          </w:r>
          <w:r>
            <w:rPr>
              <w:rFonts w:hint="eastAsia" w:ascii="Times New Roman"/>
            </w:rPr>
            <w:instrText xml:space="preserve"> PAGEREF _Toc24295 \h </w:instrText>
          </w:r>
          <w:r>
            <w:rPr>
              <w:rFonts w:hint="eastAsia" w:ascii="Times New Roman"/>
            </w:rPr>
            <w:fldChar w:fldCharType="separate"/>
          </w:r>
          <w:r>
            <w:rPr>
              <w:rFonts w:hint="eastAsia" w:ascii="Times New Roman"/>
            </w:rPr>
            <w:t>4</w:t>
          </w:r>
          <w:r>
            <w:rPr>
              <w:rFonts w:hint="eastAsia" w:ascii="Times New Roman"/>
            </w:rPr>
            <w:fldChar w:fldCharType="end"/>
          </w:r>
          <w:r>
            <w:rPr>
              <w:rFonts w:hint="eastAsia" w:ascii="Times New Roman"/>
            </w:rPr>
            <w:fldChar w:fldCharType="end"/>
          </w:r>
        </w:p>
        <w:p w14:paraId="650503C8">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_Toc31517 </w:instrText>
          </w:r>
          <w:r>
            <w:rPr>
              <w:rFonts w:hint="eastAsia" w:ascii="Times New Roman"/>
            </w:rPr>
            <w:fldChar w:fldCharType="separate"/>
          </w:r>
          <w:r>
            <w:rPr>
              <w:rFonts w:hint="eastAsia" w:ascii="Times New Roman"/>
            </w:rPr>
            <w:t>4.7 估算</w:t>
          </w:r>
          <w:r>
            <w:rPr>
              <w:rFonts w:hint="eastAsia" w:ascii="Times New Roman"/>
              <w:lang w:val="en-US" w:eastAsia="zh-CN"/>
            </w:rPr>
            <w:t>剂量</w:t>
          </w:r>
          <w:r>
            <w:rPr>
              <w:rFonts w:hint="eastAsia" w:ascii="Times New Roman"/>
            </w:rPr>
            <w:tab/>
          </w:r>
          <w:r>
            <w:rPr>
              <w:rFonts w:hint="eastAsia" w:ascii="Times New Roman"/>
            </w:rPr>
            <w:fldChar w:fldCharType="begin"/>
          </w:r>
          <w:r>
            <w:rPr>
              <w:rFonts w:hint="eastAsia" w:ascii="Times New Roman"/>
            </w:rPr>
            <w:instrText xml:space="preserve"> PAGEREF _Toc31517 \h </w:instrText>
          </w:r>
          <w:r>
            <w:rPr>
              <w:rFonts w:hint="eastAsia" w:ascii="Times New Roman"/>
            </w:rPr>
            <w:fldChar w:fldCharType="separate"/>
          </w:r>
          <w:r>
            <w:rPr>
              <w:rFonts w:hint="eastAsia" w:ascii="Times New Roman"/>
            </w:rPr>
            <w:t>4</w:t>
          </w:r>
          <w:r>
            <w:rPr>
              <w:rFonts w:hint="eastAsia" w:ascii="Times New Roman"/>
            </w:rPr>
            <w:fldChar w:fldCharType="end"/>
          </w:r>
          <w:r>
            <w:rPr>
              <w:rFonts w:hint="eastAsia" w:ascii="Times New Roman"/>
            </w:rPr>
            <w:fldChar w:fldCharType="end"/>
          </w:r>
        </w:p>
        <w:p w14:paraId="4D5BCE9D">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_Toc1691 </w:instrText>
          </w:r>
          <w:r>
            <w:rPr>
              <w:rFonts w:hint="eastAsia" w:ascii="Times New Roman"/>
            </w:rPr>
            <w:fldChar w:fldCharType="separate"/>
          </w:r>
          <w:r>
            <w:rPr>
              <w:rFonts w:hint="eastAsia" w:ascii="Times New Roman"/>
            </w:rPr>
            <w:t>4.8 质量控制</w:t>
          </w:r>
          <w:r>
            <w:rPr>
              <w:rFonts w:hint="eastAsia" w:ascii="Times New Roman"/>
            </w:rPr>
            <w:tab/>
          </w:r>
          <w:r>
            <w:rPr>
              <w:rFonts w:hint="eastAsia" w:ascii="Times New Roman"/>
            </w:rPr>
            <w:fldChar w:fldCharType="begin"/>
          </w:r>
          <w:r>
            <w:rPr>
              <w:rFonts w:hint="eastAsia" w:ascii="Times New Roman"/>
            </w:rPr>
            <w:instrText xml:space="preserve"> PAGEREF _Toc1691 \h </w:instrText>
          </w:r>
          <w:r>
            <w:rPr>
              <w:rFonts w:hint="eastAsia" w:ascii="Times New Roman"/>
            </w:rPr>
            <w:fldChar w:fldCharType="separate"/>
          </w:r>
          <w:r>
            <w:rPr>
              <w:rFonts w:hint="eastAsia" w:ascii="Times New Roman"/>
            </w:rPr>
            <w:t>5</w:t>
          </w:r>
          <w:r>
            <w:rPr>
              <w:rFonts w:hint="eastAsia" w:ascii="Times New Roman"/>
            </w:rPr>
            <w:fldChar w:fldCharType="end"/>
          </w:r>
          <w:r>
            <w:rPr>
              <w:rFonts w:hint="eastAsia" w:ascii="Times New Roman"/>
            </w:rPr>
            <w:fldChar w:fldCharType="end"/>
          </w:r>
        </w:p>
        <w:p w14:paraId="5A7DC037">
          <w:pPr>
            <w:pStyle w:val="8"/>
            <w:tabs>
              <w:tab w:val="right" w:leader="dot" w:pos="8312"/>
            </w:tabs>
            <w:spacing w:line="360" w:lineRule="auto"/>
            <w:rPr>
              <w:rFonts w:hint="eastAsia" w:ascii="Times New Roman"/>
            </w:rPr>
          </w:pPr>
          <w:r>
            <w:rPr>
              <w:rFonts w:hint="eastAsia" w:ascii="Times New Roman"/>
            </w:rPr>
            <w:fldChar w:fldCharType="begin"/>
          </w:r>
          <w:r>
            <w:rPr>
              <w:rFonts w:hint="eastAsia" w:ascii="Times New Roman"/>
            </w:rPr>
            <w:instrText xml:space="preserve"> HYPERLINK \l _Toc11371 </w:instrText>
          </w:r>
          <w:r>
            <w:rPr>
              <w:rFonts w:hint="eastAsia" w:ascii="Times New Roman"/>
            </w:rPr>
            <w:fldChar w:fldCharType="separate"/>
          </w:r>
          <w:r>
            <w:rPr>
              <w:rFonts w:hint="eastAsia" w:ascii="Times New Roman"/>
            </w:rPr>
            <w:t>4.9 估算剂量的原则</w:t>
          </w:r>
          <w:r>
            <w:rPr>
              <w:rFonts w:hint="eastAsia" w:ascii="Times New Roman"/>
            </w:rPr>
            <w:tab/>
          </w:r>
          <w:r>
            <w:rPr>
              <w:rFonts w:hint="eastAsia" w:ascii="Times New Roman"/>
            </w:rPr>
            <w:fldChar w:fldCharType="begin"/>
          </w:r>
          <w:r>
            <w:rPr>
              <w:rFonts w:hint="eastAsia" w:ascii="Times New Roman"/>
            </w:rPr>
            <w:instrText xml:space="preserve"> PAGEREF _Toc11371 \h </w:instrText>
          </w:r>
          <w:r>
            <w:rPr>
              <w:rFonts w:hint="eastAsia" w:ascii="Times New Roman"/>
            </w:rPr>
            <w:fldChar w:fldCharType="separate"/>
          </w:r>
          <w:r>
            <w:rPr>
              <w:rFonts w:hint="eastAsia" w:ascii="Times New Roman"/>
            </w:rPr>
            <w:t>5</w:t>
          </w:r>
          <w:r>
            <w:rPr>
              <w:rFonts w:hint="eastAsia" w:ascii="Times New Roman"/>
            </w:rPr>
            <w:fldChar w:fldCharType="end"/>
          </w:r>
          <w:r>
            <w:rPr>
              <w:rFonts w:hint="eastAsia" w:ascii="Times New Roman"/>
            </w:rPr>
            <w:fldChar w:fldCharType="end"/>
          </w:r>
        </w:p>
        <w:p w14:paraId="34717D24">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_Toc26641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pacing w:val="0"/>
              <w:sz w:val="21"/>
              <w:szCs w:val="22"/>
            </w:rPr>
            <w:t xml:space="preserve">附录A </w:t>
          </w:r>
          <w:r>
            <w:rPr>
              <w:rFonts w:hint="eastAsia" w:ascii="Times New Roman" w:hAnsiTheme="minorHAnsi" w:eastAsiaTheme="minorEastAsia" w:cstheme="minorBidi"/>
              <w:b w:val="0"/>
              <w:bCs w:val="0"/>
              <w:sz w:val="21"/>
              <w:szCs w:val="22"/>
            </w:rPr>
            <w:t xml:space="preserve"> （规范性） 主要仪器设备和试剂配制</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_Toc26641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6</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0C89B68E">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_Toc23565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pacing w:val="0"/>
              <w:sz w:val="21"/>
              <w:szCs w:val="22"/>
            </w:rPr>
            <w:t xml:space="preserve">附录B </w:t>
          </w:r>
          <w:r>
            <w:rPr>
              <w:rFonts w:hint="eastAsia" w:ascii="Times New Roman" w:hAnsiTheme="minorHAnsi" w:eastAsiaTheme="minorEastAsia" w:cstheme="minorBidi"/>
              <w:b w:val="0"/>
              <w:bCs w:val="0"/>
              <w:sz w:val="21"/>
              <w:szCs w:val="22"/>
            </w:rPr>
            <w:t xml:space="preserve"> （资料性） 生物剂量估算检测报告单</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_Toc23565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7</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368C2153">
          <w:pPr>
            <w:pStyle w:val="7"/>
            <w:tabs>
              <w:tab w:val="right" w:leader="dot" w:pos="8312"/>
            </w:tabs>
            <w:spacing w:before="0" w:after="0" w:line="360" w:lineRule="auto"/>
            <w:rPr>
              <w:rFonts w:hint="eastAsia"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_Toc16574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pacing w:val="0"/>
              <w:sz w:val="21"/>
              <w:szCs w:val="22"/>
            </w:rPr>
            <w:t xml:space="preserve">附录C </w:t>
          </w:r>
          <w:r>
            <w:rPr>
              <w:rFonts w:hint="eastAsia" w:ascii="Times New Roman" w:hAnsiTheme="minorHAnsi" w:eastAsiaTheme="minorEastAsia" w:cstheme="minorBidi"/>
              <w:b w:val="0"/>
              <w:bCs w:val="0"/>
              <w:sz w:val="21"/>
              <w:szCs w:val="22"/>
            </w:rPr>
            <w:t xml:space="preserve"> （资料性）</w:t>
          </w:r>
          <w:r>
            <w:rPr>
              <w:rFonts w:hint="eastAsia" w:ascii="Times New Roman" w:hAnsiTheme="minorHAnsi" w:eastAsiaTheme="minorEastAsia" w:cstheme="minorBidi"/>
              <w:b w:val="0"/>
              <w:bCs w:val="0"/>
              <w:sz w:val="21"/>
              <w:szCs w:val="22"/>
              <w:lang w:val="en-US" w:eastAsia="zh-CN"/>
            </w:rPr>
            <w:t xml:space="preserve"> </w:t>
          </w:r>
          <w:r>
            <w:rPr>
              <w:rFonts w:hint="eastAsia" w:ascii="Times New Roman" w:hAnsiTheme="minorHAnsi" w:eastAsiaTheme="minorEastAsia" w:cstheme="minorBidi"/>
              <w:b w:val="0"/>
              <w:bCs w:val="0"/>
              <w:sz w:val="21"/>
              <w:szCs w:val="22"/>
            </w:rPr>
            <w:t>受照人员生物剂量估算应用示例</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_Toc16574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8</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1968F42D">
          <w:pPr>
            <w:pStyle w:val="7"/>
            <w:tabs>
              <w:tab w:val="right" w:leader="dot" w:pos="8312"/>
            </w:tabs>
            <w:spacing w:before="0" w:after="0" w:line="360" w:lineRule="auto"/>
            <w:rPr>
              <w:rFonts w:hint="default" w:ascii="Times New Roman" w:hAnsiTheme="minorHAnsi" w:eastAsiaTheme="minorEastAsia" w:cstheme="minorBidi"/>
              <w:b w:val="0"/>
              <w:bCs w:val="0"/>
              <w:sz w:val="21"/>
              <w:szCs w:val="22"/>
            </w:rPr>
          </w:pPr>
          <w:r>
            <w:rPr>
              <w:rFonts w:hint="eastAsia" w:ascii="Times New Roman" w:hAnsiTheme="minorHAnsi" w:eastAsiaTheme="minorEastAsia" w:cstheme="minorBidi"/>
              <w:b w:val="0"/>
              <w:bCs w:val="0"/>
              <w:sz w:val="21"/>
              <w:szCs w:val="22"/>
              <w:lang w:val="en-US" w:eastAsia="zh-CN"/>
            </w:rPr>
            <w:t>附录D  （资料性） 复杂外照射场景</w:t>
          </w:r>
          <w:r>
            <w:rPr>
              <w:rFonts w:hint="eastAsia" w:ascii="Times New Roman" w:hAnsiTheme="minorHAnsi" w:eastAsiaTheme="minorEastAsia" w:cstheme="minorBidi"/>
              <w:b w:val="0"/>
              <w:bCs w:val="0"/>
              <w:sz w:val="21"/>
              <w:szCs w:val="22"/>
            </w:rPr>
            <w:t>的生物剂量估算</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lang w:val="en-US" w:eastAsia="zh-CN"/>
            </w:rPr>
            <w:t xml:space="preserve">9  </w:t>
          </w:r>
        </w:p>
        <w:p w14:paraId="6116F78C">
          <w:pPr>
            <w:pStyle w:val="7"/>
            <w:tabs>
              <w:tab w:val="right" w:leader="dot" w:pos="8312"/>
            </w:tabs>
            <w:spacing w:before="0" w:after="0" w:line="360" w:lineRule="auto"/>
          </w:pP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HYPERLINK \l _Toc28782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参考文献</w:t>
          </w:r>
          <w:r>
            <w:rPr>
              <w:rFonts w:hint="eastAsia" w:ascii="Times New Roman" w:hAnsiTheme="minorHAnsi" w:eastAsiaTheme="minorEastAsia" w:cstheme="minorBidi"/>
              <w:b w:val="0"/>
              <w:bCs w:val="0"/>
              <w:sz w:val="21"/>
              <w:szCs w:val="22"/>
            </w:rPr>
            <w:tab/>
          </w:r>
          <w:r>
            <w:rPr>
              <w:rFonts w:hint="eastAsia" w:ascii="Times New Roman" w:hAnsiTheme="minorHAnsi" w:eastAsiaTheme="minorEastAsia" w:cstheme="minorBidi"/>
              <w:b w:val="0"/>
              <w:bCs w:val="0"/>
              <w:sz w:val="21"/>
              <w:szCs w:val="22"/>
            </w:rPr>
            <w:fldChar w:fldCharType="begin"/>
          </w:r>
          <w:r>
            <w:rPr>
              <w:rFonts w:hint="eastAsia" w:ascii="Times New Roman" w:hAnsiTheme="minorHAnsi" w:eastAsiaTheme="minorEastAsia" w:cstheme="minorBidi"/>
              <w:b w:val="0"/>
              <w:bCs w:val="0"/>
              <w:sz w:val="21"/>
              <w:szCs w:val="22"/>
            </w:rPr>
            <w:instrText xml:space="preserve"> PAGEREF _Toc28782 \h </w:instrText>
          </w:r>
          <w:r>
            <w:rPr>
              <w:rFonts w:hint="eastAsia" w:ascii="Times New Roman" w:hAnsiTheme="minorHAnsi" w:eastAsiaTheme="minorEastAsia" w:cstheme="minorBidi"/>
              <w:b w:val="0"/>
              <w:bCs w:val="0"/>
              <w:sz w:val="21"/>
              <w:szCs w:val="22"/>
            </w:rPr>
            <w:fldChar w:fldCharType="separate"/>
          </w:r>
          <w:r>
            <w:rPr>
              <w:rFonts w:hint="eastAsia" w:ascii="Times New Roman" w:hAnsiTheme="minorHAnsi" w:eastAsiaTheme="minorEastAsia" w:cstheme="minorBidi"/>
              <w:b w:val="0"/>
              <w:bCs w:val="0"/>
              <w:sz w:val="21"/>
              <w:szCs w:val="22"/>
            </w:rPr>
            <w:t>11</w:t>
          </w:r>
          <w:r>
            <w:rPr>
              <w:rFonts w:hint="eastAsia" w:ascii="Times New Roman" w:hAnsiTheme="minorHAnsi" w:eastAsiaTheme="minorEastAsia" w:cstheme="minorBidi"/>
              <w:b w:val="0"/>
              <w:bCs w:val="0"/>
              <w:sz w:val="21"/>
              <w:szCs w:val="22"/>
            </w:rPr>
            <w:fldChar w:fldCharType="end"/>
          </w:r>
          <w:r>
            <w:rPr>
              <w:rFonts w:hint="eastAsia" w:ascii="Times New Roman" w:hAnsiTheme="minorHAnsi" w:eastAsiaTheme="minorEastAsia" w:cstheme="minorBidi"/>
              <w:b w:val="0"/>
              <w:bCs w:val="0"/>
              <w:sz w:val="21"/>
              <w:szCs w:val="22"/>
            </w:rPr>
            <w:fldChar w:fldCharType="end"/>
          </w:r>
        </w:p>
        <w:p w14:paraId="64DF3F39">
          <w:pPr>
            <w:spacing w:line="360" w:lineRule="auto"/>
          </w:pPr>
          <w:r>
            <w:fldChar w:fldCharType="end"/>
          </w:r>
        </w:p>
        <w:p w14:paraId="10178287">
          <w:pPr>
            <w:spacing w:line="360" w:lineRule="auto"/>
          </w:pPr>
        </w:p>
        <w:p w14:paraId="7E24580C">
          <w:pPr>
            <w:spacing w:line="360" w:lineRule="auto"/>
          </w:pPr>
        </w:p>
        <w:p w14:paraId="03827BDB">
          <w:pPr>
            <w:spacing w:line="360" w:lineRule="auto"/>
          </w:pPr>
        </w:p>
        <w:p w14:paraId="2EE3F5DB">
          <w:pPr>
            <w:spacing w:line="360" w:lineRule="auto"/>
            <w:rPr>
              <w:rFonts w:asciiTheme="minorHAnsi" w:hAnsiTheme="minorHAnsi" w:eastAsiaTheme="minorEastAsia" w:cstheme="minorBidi"/>
              <w:b/>
              <w:kern w:val="2"/>
              <w:sz w:val="21"/>
              <w:szCs w:val="22"/>
              <w:lang w:val="en-US" w:eastAsia="zh-CN" w:bidi="ar-SA"/>
            </w:rPr>
          </w:pPr>
        </w:p>
        <w:p w14:paraId="6ECC1C58">
          <w:pPr>
            <w:spacing w:line="360" w:lineRule="auto"/>
            <w:rPr>
              <w:rFonts w:asciiTheme="minorHAnsi" w:hAnsiTheme="minorHAnsi" w:eastAsiaTheme="minorEastAsia" w:cstheme="minorBidi"/>
              <w:b/>
              <w:kern w:val="2"/>
              <w:sz w:val="21"/>
              <w:szCs w:val="22"/>
              <w:lang w:val="en-US" w:eastAsia="zh-CN" w:bidi="ar-SA"/>
            </w:rPr>
          </w:pPr>
        </w:p>
        <w:p w14:paraId="5DBA2D52">
          <w:pPr>
            <w:spacing w:line="360" w:lineRule="auto"/>
            <w:rPr>
              <w:rFonts w:asciiTheme="minorHAnsi" w:hAnsiTheme="minorHAnsi" w:eastAsiaTheme="minorEastAsia" w:cstheme="minorBidi"/>
              <w:b/>
              <w:kern w:val="2"/>
              <w:sz w:val="21"/>
              <w:szCs w:val="22"/>
              <w:lang w:val="en-US" w:eastAsia="zh-CN" w:bidi="ar-SA"/>
            </w:rPr>
          </w:pPr>
        </w:p>
        <w:p w14:paraId="7938AFE4">
          <w:pPr>
            <w:spacing w:line="360" w:lineRule="auto"/>
            <w:rPr>
              <w:rFonts w:asciiTheme="minorHAnsi" w:hAnsiTheme="minorHAnsi" w:eastAsiaTheme="minorEastAsia" w:cstheme="minorBidi"/>
              <w:b/>
              <w:kern w:val="2"/>
              <w:sz w:val="21"/>
              <w:szCs w:val="22"/>
              <w:lang w:val="en-US" w:eastAsia="zh-CN" w:bidi="ar-SA"/>
            </w:rPr>
          </w:pPr>
        </w:p>
        <w:p w14:paraId="2A29E3CD">
          <w:pPr>
            <w:spacing w:line="360" w:lineRule="auto"/>
            <w:rPr>
              <w:rFonts w:asciiTheme="minorHAnsi" w:hAnsiTheme="minorHAnsi" w:eastAsiaTheme="minorEastAsia" w:cstheme="minorBidi"/>
              <w:b/>
              <w:kern w:val="2"/>
              <w:sz w:val="21"/>
              <w:szCs w:val="22"/>
              <w:lang w:val="en-US" w:eastAsia="zh-CN" w:bidi="ar-SA"/>
            </w:rPr>
          </w:pPr>
        </w:p>
        <w:p w14:paraId="21B72C1E">
          <w:pPr>
            <w:spacing w:line="360" w:lineRule="auto"/>
            <w:rPr>
              <w:rFonts w:asciiTheme="minorHAnsi" w:hAnsiTheme="minorHAnsi" w:eastAsiaTheme="minorEastAsia" w:cstheme="minorBidi"/>
              <w:b/>
              <w:kern w:val="2"/>
              <w:sz w:val="21"/>
              <w:szCs w:val="22"/>
              <w:lang w:val="en-US" w:eastAsia="zh-CN" w:bidi="ar-SA"/>
            </w:rPr>
          </w:pPr>
        </w:p>
        <w:p w14:paraId="763EB136">
          <w:pPr>
            <w:spacing w:line="360" w:lineRule="auto"/>
            <w:rPr>
              <w:rFonts w:asciiTheme="minorHAnsi" w:hAnsiTheme="minorHAnsi" w:eastAsiaTheme="minorEastAsia" w:cstheme="minorBidi"/>
              <w:b/>
              <w:kern w:val="2"/>
              <w:sz w:val="21"/>
              <w:szCs w:val="22"/>
              <w:lang w:val="en-US" w:eastAsia="zh-CN" w:bidi="ar-SA"/>
            </w:rPr>
          </w:pPr>
        </w:p>
        <w:p w14:paraId="4FA0D1C5">
          <w:pPr>
            <w:spacing w:line="360" w:lineRule="auto"/>
            <w:rPr>
              <w:rFonts w:asciiTheme="minorHAnsi" w:hAnsiTheme="minorHAnsi" w:eastAsiaTheme="minorEastAsia" w:cstheme="minorBidi"/>
              <w:b/>
              <w:kern w:val="2"/>
              <w:sz w:val="21"/>
              <w:szCs w:val="22"/>
              <w:lang w:val="en-US" w:eastAsia="zh-CN" w:bidi="ar-SA"/>
            </w:rPr>
          </w:pPr>
        </w:p>
        <w:p w14:paraId="2757A4D3">
          <w:pPr>
            <w:spacing w:line="360" w:lineRule="auto"/>
            <w:rPr>
              <w:rFonts w:asciiTheme="minorHAnsi" w:hAnsiTheme="minorHAnsi" w:eastAsiaTheme="minorEastAsia" w:cstheme="minorBidi"/>
              <w:b/>
              <w:kern w:val="2"/>
              <w:sz w:val="21"/>
              <w:szCs w:val="22"/>
              <w:lang w:val="en-US" w:eastAsia="zh-CN" w:bidi="ar-SA"/>
            </w:rPr>
          </w:pPr>
        </w:p>
        <w:p w14:paraId="6EB261A2">
          <w:pPr>
            <w:spacing w:line="360" w:lineRule="auto"/>
            <w:rPr>
              <w:rFonts w:asciiTheme="minorHAnsi" w:hAnsiTheme="minorHAnsi" w:eastAsiaTheme="minorEastAsia" w:cstheme="minorBidi"/>
              <w:b/>
              <w:kern w:val="2"/>
              <w:sz w:val="21"/>
              <w:szCs w:val="22"/>
              <w:lang w:val="en-US" w:eastAsia="zh-CN" w:bidi="ar-SA"/>
            </w:rPr>
          </w:pPr>
        </w:p>
        <w:tbl>
          <w:tblPr>
            <w:tblStyle w:val="10"/>
            <w:tblW w:w="9356" w:type="dxa"/>
            <w:tblInd w:w="-180" w:type="dxa"/>
            <w:tblLayout w:type="fixed"/>
            <w:tblCellMar>
              <w:top w:w="0" w:type="dxa"/>
              <w:left w:w="0" w:type="dxa"/>
              <w:bottom w:w="0" w:type="dxa"/>
              <w:right w:w="0" w:type="dxa"/>
            </w:tblCellMar>
          </w:tblPr>
          <w:tblGrid>
            <w:gridCol w:w="9356"/>
          </w:tblGrid>
          <w:tr w14:paraId="049B9021">
            <w:tblPrEx>
              <w:tblCellMar>
                <w:top w:w="0" w:type="dxa"/>
                <w:left w:w="0" w:type="dxa"/>
                <w:bottom w:w="0" w:type="dxa"/>
                <w:right w:w="0" w:type="dxa"/>
              </w:tblCellMar>
            </w:tblPrEx>
            <w:trPr>
              <w:trHeight w:val="360" w:hRule="exact"/>
            </w:trPr>
            <w:tc>
              <w:tcPr>
                <w:tcW w:w="9356" w:type="dxa"/>
                <w:vAlign w:val="center"/>
              </w:tcPr>
              <w:p w14:paraId="1DA02948">
                <w:pPr>
                  <w:pStyle w:val="2"/>
                  <w:spacing w:before="0" w:after="0" w:line="240" w:lineRule="auto"/>
                  <w:jc w:val="center"/>
                  <w:rPr>
                    <w:rFonts w:ascii="黑体" w:eastAsia="黑体"/>
                  </w:rPr>
                </w:pPr>
                <w:r>
                  <w:rPr>
                    <w:rFonts w:hint="eastAsia" w:ascii="黑体" w:hAnsi="黑体" w:eastAsia="黑体" w:cs="黑体"/>
                    <w:sz w:val="32"/>
                    <w:szCs w:val="32"/>
                  </w:rPr>
                  <w:t>前  言</w:t>
                </w:r>
              </w:p>
            </w:tc>
          </w:tr>
          <w:tr w14:paraId="12AB17B2">
            <w:tblPrEx>
              <w:tblCellMar>
                <w:top w:w="0" w:type="dxa"/>
                <w:left w:w="0" w:type="dxa"/>
                <w:bottom w:w="0" w:type="dxa"/>
                <w:right w:w="0" w:type="dxa"/>
              </w:tblCellMar>
            </w:tblPrEx>
            <w:trPr>
              <w:trHeight w:val="519" w:hRule="exact"/>
            </w:trPr>
            <w:tc>
              <w:tcPr>
                <w:tcW w:w="9356" w:type="dxa"/>
                <w:vAlign w:val="center"/>
              </w:tcPr>
              <w:p w14:paraId="0F680C2F">
                <w:pPr>
                  <w:jc w:val="center"/>
                  <w:rPr>
                    <w:rFonts w:eastAsia="华文中宋"/>
                  </w:rPr>
                </w:pPr>
              </w:p>
            </w:tc>
          </w:tr>
        </w:tbl>
        <w:p w14:paraId="1C51B1BE">
          <w:pPr>
            <w:pStyle w:val="17"/>
            <w:ind w:firstLine="420" w:firstLineChars="0"/>
            <w:rPr>
              <w:rFonts w:hAnsi="宋体"/>
            </w:rPr>
          </w:pPr>
        </w:p>
        <w:p w14:paraId="573CBC59">
          <w:pPr>
            <w:pStyle w:val="17"/>
            <w:autoSpaceDE/>
            <w:autoSpaceDN/>
            <w:spacing w:line="360" w:lineRule="auto"/>
            <w:ind w:firstLine="420"/>
            <w:rPr>
              <w:rFonts w:ascii="Times New Roman"/>
            </w:rPr>
          </w:pPr>
          <w:r>
            <w:rPr>
              <w:rFonts w:hint="eastAsia" w:ascii="Times New Roman"/>
            </w:rPr>
            <w:t>本文件按照GB/T1.1—2020《标准化工作导则  第1部分：标准化文件的结构和起草规则》的规定起草。</w:t>
          </w:r>
        </w:p>
        <w:p w14:paraId="7FB99081">
          <w:pPr>
            <w:pStyle w:val="17"/>
            <w:autoSpaceDE/>
            <w:autoSpaceDN/>
            <w:spacing w:line="360" w:lineRule="auto"/>
            <w:ind w:firstLine="420"/>
            <w:rPr>
              <w:rFonts w:ascii="Times New Roman"/>
            </w:rPr>
          </w:pPr>
          <w:r>
            <w:rPr>
              <w:rFonts w:hint="eastAsia" w:ascii="Times New Roman"/>
            </w:rPr>
            <w:t>请注意本文件的某些内容可能涉及著作权、专利等知识产权。本文件的发布机构不承担识别这些知识产权的责任。</w:t>
          </w:r>
        </w:p>
        <w:p w14:paraId="3284CFDF">
          <w:pPr>
            <w:pStyle w:val="17"/>
            <w:autoSpaceDE/>
            <w:autoSpaceDN/>
            <w:spacing w:line="360" w:lineRule="auto"/>
            <w:ind w:firstLine="420"/>
            <w:rPr>
              <w:rFonts w:ascii="Times New Roman"/>
            </w:rPr>
          </w:pPr>
          <w:r>
            <w:rPr>
              <w:rFonts w:hint="eastAsia" w:ascii="Times New Roman"/>
            </w:rPr>
            <w:t>本文件由河南省第三人民医院（河南省职业病医院）提出。</w:t>
          </w:r>
        </w:p>
        <w:p w14:paraId="75E7E174">
          <w:pPr>
            <w:pStyle w:val="17"/>
            <w:autoSpaceDE/>
            <w:autoSpaceDN/>
            <w:spacing w:line="360" w:lineRule="auto"/>
            <w:ind w:firstLine="420"/>
            <w:rPr>
              <w:rFonts w:ascii="Times New Roman"/>
            </w:rPr>
          </w:pPr>
          <w:r>
            <w:rPr>
              <w:rFonts w:hint="eastAsia" w:ascii="Times New Roman"/>
            </w:rPr>
            <w:t>本文件由中国辐射防护学会归口。</w:t>
          </w:r>
        </w:p>
        <w:p w14:paraId="73455786">
          <w:pPr>
            <w:pStyle w:val="17"/>
            <w:autoSpaceDE/>
            <w:autoSpaceDN/>
            <w:spacing w:line="360" w:lineRule="auto"/>
            <w:ind w:firstLine="420"/>
            <w:rPr>
              <w:rFonts w:ascii="Times New Roman"/>
            </w:rPr>
          </w:pPr>
          <w:r>
            <w:rPr>
              <w:rFonts w:hint="eastAsia" w:ascii="Times New Roman"/>
            </w:rPr>
            <w:t>本文件起草单位：河南省第三人民医院（河南省职业病医院）、苏州大学附属第二医院、中国疾病预防控制中心辐射防护与核安全医学所、中国医学科学院放射医学研究所、中国辐射防护研究院、火箭军特色医学中心、山东省医学科学院放射医学研究所</w:t>
          </w:r>
          <w:r>
            <w:rPr>
              <w:rFonts w:hint="eastAsia" w:ascii="Times New Roman"/>
              <w:lang w:eastAsia="zh-CN"/>
            </w:rPr>
            <w:t>、</w:t>
          </w:r>
          <w:r>
            <w:rPr>
              <w:rFonts w:hint="eastAsia" w:ascii="Times New Roman"/>
            </w:rPr>
            <w:t>江苏省疾病预防控制中心、核工业四一六医院、广东省职业病防治院、广西壮族自治区职业病防治研究院、北京市化工职业病防治院、吉林省职业病防治院、新乡市职业病防治研究所、福建省职业病与化学中毒预防控制中心、莅时智能科技（上海）有限公司</w:t>
          </w:r>
        </w:p>
        <w:p w14:paraId="234D08E0">
          <w:pPr>
            <w:pStyle w:val="17"/>
            <w:autoSpaceDE/>
            <w:autoSpaceDN/>
            <w:spacing w:line="360" w:lineRule="auto"/>
            <w:ind w:firstLine="420"/>
            <w:rPr>
              <w:rFonts w:ascii="Times New Roman"/>
            </w:rPr>
          </w:pPr>
          <w:r>
            <w:rPr>
              <w:rFonts w:hint="eastAsia" w:ascii="Times New Roman"/>
            </w:rPr>
            <w:t>本文件主要起草人：吕玉民、刘玉龙、刘青杰、刘强、吴迪、韩林、高宇、王平、李杰、赵风玲、程晓军、</w:t>
          </w:r>
          <w:r>
            <w:rPr>
              <w:rFonts w:ascii="Times New Roman"/>
            </w:rPr>
            <w:t>张睿凤</w:t>
          </w:r>
          <w:r>
            <w:rPr>
              <w:rFonts w:hint="eastAsia" w:ascii="Times New Roman"/>
            </w:rPr>
            <w:t>、江其生、马娅、</w:t>
          </w:r>
          <w:r>
            <w:rPr>
              <w:rFonts w:ascii="Times New Roman"/>
            </w:rPr>
            <w:t>赵骅</w:t>
          </w:r>
          <w:r>
            <w:rPr>
              <w:rFonts w:hint="eastAsia" w:ascii="Times New Roman"/>
            </w:rPr>
            <w:t>、冯俊超、刘畅、张云飞、杜沙沙、李小昊、牛显飞、周媛媛、贺再清、赵娜、刘秋英、时宇花、何俊秋、杜春迎、张冰洁</w:t>
          </w:r>
          <w:r>
            <w:rPr>
              <w:rFonts w:hint="eastAsia" w:ascii="Times New Roman"/>
              <w:sz w:val="28"/>
              <w:szCs w:val="28"/>
            </w:rPr>
            <w:t>、</w:t>
          </w:r>
          <w:r>
            <w:rPr>
              <w:rFonts w:hint="eastAsia" w:ascii="Times New Roman"/>
            </w:rPr>
            <w:t>江婵、王本刚</w:t>
          </w:r>
        </w:p>
        <w:p w14:paraId="0F1CF9DA">
          <w:pPr>
            <w:spacing w:line="360" w:lineRule="auto"/>
            <w:rPr>
              <w:rFonts w:asciiTheme="minorHAnsi" w:hAnsiTheme="minorHAnsi" w:eastAsiaTheme="minorEastAsia" w:cstheme="minorBidi"/>
              <w:b/>
              <w:kern w:val="2"/>
              <w:sz w:val="21"/>
              <w:szCs w:val="22"/>
              <w:lang w:val="en-US" w:eastAsia="zh-CN" w:bidi="ar-SA"/>
            </w:rPr>
            <w:sectPr>
              <w:footerReference r:id="rId4" w:type="default"/>
              <w:pgSz w:w="11906" w:h="16838"/>
              <w:pgMar w:top="1440" w:right="1797" w:bottom="1440" w:left="1797" w:header="851" w:footer="992" w:gutter="0"/>
              <w:pgNumType w:fmt="upperRoman" w:start="1"/>
              <w:cols w:space="425" w:num="1"/>
              <w:docGrid w:linePitch="312" w:charSpace="0"/>
            </w:sectPr>
          </w:pPr>
        </w:p>
      </w:sdtContent>
    </w:sdt>
    <w:p w14:paraId="5D0F6C9B">
      <w:pPr>
        <w:pStyle w:val="17"/>
        <w:ind w:firstLine="0" w:firstLineChars="0"/>
      </w:pPr>
    </w:p>
    <w:tbl>
      <w:tblPr>
        <w:tblStyle w:val="10"/>
        <w:tblW w:w="8323" w:type="dxa"/>
        <w:tblInd w:w="0" w:type="dxa"/>
        <w:tblLayout w:type="fixed"/>
        <w:tblCellMar>
          <w:top w:w="0" w:type="dxa"/>
          <w:left w:w="0" w:type="dxa"/>
          <w:bottom w:w="0" w:type="dxa"/>
          <w:right w:w="0" w:type="dxa"/>
        </w:tblCellMar>
      </w:tblPr>
      <w:tblGrid>
        <w:gridCol w:w="8323"/>
      </w:tblGrid>
      <w:tr w14:paraId="7AA815FE">
        <w:tblPrEx>
          <w:tblCellMar>
            <w:top w:w="0" w:type="dxa"/>
            <w:left w:w="0" w:type="dxa"/>
            <w:bottom w:w="0" w:type="dxa"/>
            <w:right w:w="0" w:type="dxa"/>
          </w:tblCellMar>
        </w:tblPrEx>
        <w:trPr>
          <w:trHeight w:val="360" w:hRule="exact"/>
        </w:trPr>
        <w:tc>
          <w:tcPr>
            <w:tcW w:w="8323" w:type="dxa"/>
            <w:vAlign w:val="center"/>
          </w:tcPr>
          <w:p w14:paraId="166F1AB1">
            <w:pPr>
              <w:jc w:val="center"/>
              <w:rPr>
                <w:sz w:val="32"/>
                <w:szCs w:val="32"/>
              </w:rPr>
            </w:pPr>
            <w:r>
              <w:rPr>
                <w:rFonts w:hint="eastAsia" w:ascii="黑体" w:hAnsi="黑体" w:eastAsia="黑体" w:cs="Times New Roman"/>
                <w:color w:val="000000"/>
                <w:sz w:val="32"/>
                <w:szCs w:val="32"/>
              </w:rPr>
              <w:t>双着丝粒染色体半自动分析估算辐射生物剂量技术规范</w:t>
            </w:r>
          </w:p>
          <w:p w14:paraId="74E39B54"/>
          <w:p w14:paraId="067E49ED"/>
          <w:p w14:paraId="06BA52C5"/>
          <w:p w14:paraId="71A046C8"/>
          <w:p w14:paraId="597F969D"/>
          <w:p w14:paraId="1CFD11C0"/>
          <w:p w14:paraId="19E7CECA"/>
          <w:p w14:paraId="5C878C0F"/>
          <w:p w14:paraId="5194F287"/>
          <w:p w14:paraId="38F2D0D0">
            <w:pPr>
              <w:spacing w:line="360" w:lineRule="exact"/>
              <w:jc w:val="center"/>
              <w:rPr>
                <w:rFonts w:ascii="黑体" w:eastAsia="黑体"/>
                <w:sz w:val="32"/>
                <w:szCs w:val="32"/>
              </w:rPr>
            </w:pPr>
          </w:p>
        </w:tc>
      </w:tr>
      <w:tr w14:paraId="1A76C2C8">
        <w:tblPrEx>
          <w:tblCellMar>
            <w:top w:w="0" w:type="dxa"/>
            <w:left w:w="0" w:type="dxa"/>
            <w:bottom w:w="0" w:type="dxa"/>
            <w:right w:w="0" w:type="dxa"/>
          </w:tblCellMar>
        </w:tblPrEx>
        <w:trPr>
          <w:trHeight w:val="316" w:hRule="exact"/>
        </w:trPr>
        <w:tc>
          <w:tcPr>
            <w:tcW w:w="8323" w:type="dxa"/>
          </w:tcPr>
          <w:p w14:paraId="40A1B31B">
            <w:pPr>
              <w:jc w:val="center"/>
              <w:rPr>
                <w:rFonts w:ascii="黑体" w:eastAsia="黑体"/>
                <w:sz w:val="32"/>
                <w:szCs w:val="32"/>
              </w:rPr>
            </w:pPr>
          </w:p>
        </w:tc>
      </w:tr>
    </w:tbl>
    <w:p w14:paraId="02B5A0EB">
      <w:pPr>
        <w:pStyle w:val="16"/>
        <w:numPr>
          <w:ilvl w:val="0"/>
          <w:numId w:val="1"/>
        </w:numPr>
        <w:spacing w:before="240" w:beforeLines="100" w:after="240" w:afterLines="100"/>
        <w:outlineLvl w:val="0"/>
        <w:rPr>
          <w:rFonts w:ascii="Times New Roman"/>
        </w:rPr>
      </w:pPr>
      <w:bookmarkStart w:id="0" w:name="_Toc8421"/>
      <w:bookmarkStart w:id="1" w:name="_Toc11809"/>
      <w:bookmarkStart w:id="2" w:name="_Toc509933849"/>
      <w:bookmarkStart w:id="3" w:name="_Toc459720143"/>
      <w:bookmarkStart w:id="4" w:name="_Toc11741"/>
      <w:bookmarkStart w:id="5" w:name="_Toc459704603"/>
      <w:bookmarkStart w:id="6" w:name="_Toc459724774"/>
      <w:bookmarkStart w:id="7" w:name="_Toc510534528"/>
      <w:r>
        <w:rPr>
          <w:rFonts w:ascii="Times New Roman"/>
        </w:rPr>
        <w:t>范围</w:t>
      </w:r>
      <w:bookmarkEnd w:id="0"/>
      <w:bookmarkEnd w:id="1"/>
      <w:bookmarkEnd w:id="2"/>
      <w:bookmarkEnd w:id="3"/>
      <w:bookmarkEnd w:id="4"/>
      <w:bookmarkEnd w:id="5"/>
      <w:bookmarkEnd w:id="6"/>
      <w:bookmarkEnd w:id="7"/>
    </w:p>
    <w:p w14:paraId="7A557EE5">
      <w:pPr>
        <w:pStyle w:val="17"/>
        <w:spacing w:line="360" w:lineRule="auto"/>
        <w:ind w:firstLine="420"/>
        <w:rPr>
          <w:rFonts w:ascii="Times New Roman"/>
        </w:rPr>
      </w:pPr>
      <w:bookmarkStart w:id="8" w:name="_Toc459724775"/>
      <w:bookmarkStart w:id="9" w:name="_Toc459704604"/>
      <w:bookmarkStart w:id="10" w:name="_Toc459720144"/>
      <w:r>
        <w:rPr>
          <w:rFonts w:ascii="Times New Roman"/>
        </w:rPr>
        <w:t>本</w:t>
      </w:r>
      <w:r>
        <w:rPr>
          <w:rFonts w:hint="eastAsia" w:ascii="Times New Roman"/>
        </w:rPr>
        <w:t>文件</w:t>
      </w:r>
      <w:r>
        <w:rPr>
          <w:rFonts w:ascii="Times New Roman"/>
        </w:rPr>
        <w:t>给出了电离辐射诱发人外周血淋巴细胞染色体畸变分析中的微量全血培养、标本制备、</w:t>
      </w:r>
      <w:r>
        <w:rPr>
          <w:rFonts w:hint="eastAsia" w:ascii="Times New Roman"/>
          <w:kern w:val="2"/>
        </w:rPr>
        <w:t>双着丝粒染色体</w:t>
      </w:r>
      <w:r>
        <w:rPr>
          <w:rFonts w:ascii="Times New Roman"/>
          <w:kern w:val="2"/>
        </w:rPr>
        <w:t>半</w:t>
      </w:r>
      <w:r>
        <w:rPr>
          <w:rFonts w:ascii="Times New Roman"/>
        </w:rPr>
        <w:t>自动分析，以及用其建立剂量-效应曲线和估算生物剂量的方法</w:t>
      </w:r>
      <w:r>
        <w:rPr>
          <w:rFonts w:hint="eastAsia" w:ascii="Times New Roman"/>
        </w:rPr>
        <w:t>。</w:t>
      </w:r>
    </w:p>
    <w:p w14:paraId="4AA6F869">
      <w:pPr>
        <w:pStyle w:val="17"/>
        <w:spacing w:line="360" w:lineRule="auto"/>
        <w:ind w:firstLine="420"/>
        <w:rPr>
          <w:rFonts w:ascii="Times New Roman"/>
        </w:rPr>
      </w:pPr>
      <w:r>
        <w:rPr>
          <w:rFonts w:hint="eastAsia" w:ascii="Times New Roman"/>
        </w:rPr>
        <w:t>本文件</w:t>
      </w:r>
      <w:r>
        <w:rPr>
          <w:rFonts w:ascii="Times New Roman"/>
        </w:rPr>
        <w:t>适用于一次比较均匀的全身外照射受照人员的生物剂量估算。</w:t>
      </w:r>
    </w:p>
    <w:p w14:paraId="2BDC7BCD">
      <w:pPr>
        <w:pStyle w:val="17"/>
        <w:spacing w:line="360" w:lineRule="auto"/>
        <w:ind w:firstLine="420"/>
      </w:pPr>
      <w:r>
        <w:rPr>
          <w:rFonts w:hint="eastAsia" w:ascii="Times New Roman"/>
        </w:rPr>
        <w:t>本文件</w:t>
      </w:r>
      <w:r>
        <w:rPr>
          <w:rFonts w:ascii="Times New Roman"/>
        </w:rPr>
        <w:t>不适用于长期低剂量累积照射和内照射的生物剂量估算。</w:t>
      </w:r>
    </w:p>
    <w:p w14:paraId="6D8466A6">
      <w:pPr>
        <w:pStyle w:val="16"/>
        <w:numPr>
          <w:ilvl w:val="0"/>
          <w:numId w:val="1"/>
        </w:numPr>
        <w:spacing w:before="240" w:beforeLines="100" w:after="240" w:afterLines="100"/>
        <w:outlineLvl w:val="0"/>
        <w:rPr>
          <w:rFonts w:ascii="Times New Roman"/>
        </w:rPr>
      </w:pPr>
      <w:bookmarkStart w:id="11" w:name="_Toc29719"/>
      <w:bookmarkStart w:id="12" w:name="_Toc510534529"/>
      <w:bookmarkStart w:id="13" w:name="_Toc509933850"/>
      <w:bookmarkStart w:id="14" w:name="_Toc19448"/>
      <w:bookmarkStart w:id="15" w:name="_Toc26624"/>
      <w:r>
        <w:rPr>
          <w:rFonts w:ascii="Times New Roman"/>
        </w:rPr>
        <w:t>规范性引用文件</w:t>
      </w:r>
      <w:bookmarkEnd w:id="8"/>
      <w:bookmarkEnd w:id="9"/>
      <w:bookmarkEnd w:id="10"/>
      <w:bookmarkEnd w:id="11"/>
      <w:bookmarkEnd w:id="12"/>
      <w:bookmarkEnd w:id="13"/>
      <w:bookmarkEnd w:id="14"/>
      <w:bookmarkEnd w:id="15"/>
    </w:p>
    <w:p w14:paraId="08D534A0">
      <w:pPr>
        <w:pStyle w:val="36"/>
        <w:spacing w:line="360" w:lineRule="auto"/>
        <w:ind w:firstLine="420"/>
      </w:pPr>
      <w:bookmarkStart w:id="16" w:name="_Toc459704605"/>
      <w:bookmarkEnd w:id="16"/>
      <w:bookmarkStart w:id="17" w:name="_Toc459720145"/>
      <w:bookmarkStart w:id="18" w:name="_Toc459724776"/>
      <w:r>
        <w:rPr>
          <w:rFonts w:hint="eastAsia"/>
        </w:rPr>
        <w:t>下列文件中的内容通过文中的规范性引用而构成本文</w:t>
      </w:r>
      <w:r>
        <w:rPr>
          <w:rFonts w:hint="eastAsia"/>
          <w:lang w:val="en-US" w:eastAsia="zh-CN"/>
        </w:rPr>
        <w:t>件</w:t>
      </w:r>
      <w:r>
        <w:rPr>
          <w:rFonts w:hint="eastAsia"/>
        </w:rPr>
        <w:t>必不可少的条款。其中，注日期的引用文件，仅该日期对应的版本适用于本标准；不注日期的引用文件，其最新版本（包括所有的修改单）适用于本文件。</w:t>
      </w:r>
    </w:p>
    <w:p w14:paraId="342A9201">
      <w:pPr>
        <w:pStyle w:val="36"/>
        <w:spacing w:line="360" w:lineRule="auto"/>
        <w:ind w:firstLine="42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GB/T 28236 染色体畸变估算生物剂量方法</w:t>
      </w:r>
    </w:p>
    <w:p w14:paraId="4251EDB7">
      <w:pPr>
        <w:pStyle w:val="36"/>
        <w:spacing w:line="36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GBZ/T 248  放射工作人员职业健康检查外周血淋巴细胞染色体畸变检测与评价</w:t>
      </w:r>
    </w:p>
    <w:p w14:paraId="0C5DE12C">
      <w:pPr>
        <w:spacing w:line="360" w:lineRule="auto"/>
        <w:ind w:firstLine="420" w:firstLineChars="200"/>
        <w:rPr>
          <w:rFonts w:hint="eastAsia" w:asciiTheme="majorEastAsia" w:hAnsiTheme="majorEastAsia" w:eastAsiaTheme="majorEastAsia" w:cstheme="majorEastAsia"/>
          <w:szCs w:val="21"/>
        </w:rPr>
      </w:pPr>
      <w:r>
        <w:rPr>
          <w:rFonts w:ascii="Times New Roman" w:hAnsi="Times New Roman" w:cs="Times New Roman"/>
        </w:rPr>
        <w:t>ISO 19238</w:t>
      </w:r>
      <w:r>
        <w:rPr>
          <w:rFonts w:hint="eastAsia" w:ascii="Times New Roman" w:hAnsi="Times New Roman" w:cs="Times New Roman"/>
          <w:lang w:val="en-US" w:eastAsia="zh-CN"/>
        </w:rPr>
        <w:t xml:space="preserve"> </w:t>
      </w:r>
      <w:r>
        <w:rPr>
          <w:rFonts w:ascii="Times New Roman" w:hAnsi="Times New Roman" w:cs="Times New Roman"/>
        </w:rPr>
        <w:t xml:space="preserve">International Organization for Standardization. </w:t>
      </w:r>
      <w:r>
        <w:rPr>
          <w:rFonts w:ascii="Times New Roman" w:hAnsi="Times New Roman" w:eastAsia="宋体" w:cs="Times New Roman"/>
          <w:szCs w:val="21"/>
        </w:rPr>
        <w:t>Radiological protection — Performance criteria for service laboratories performing biological dosimetry by cytogenetics — Dicentric assay</w:t>
      </w:r>
    </w:p>
    <w:p w14:paraId="7422A3E3">
      <w:pPr>
        <w:pStyle w:val="16"/>
        <w:numPr>
          <w:ilvl w:val="0"/>
          <w:numId w:val="1"/>
        </w:numPr>
        <w:spacing w:before="240" w:beforeLines="100" w:after="240" w:afterLines="100"/>
        <w:outlineLvl w:val="0"/>
        <w:rPr>
          <w:rFonts w:ascii="Times New Roman"/>
        </w:rPr>
      </w:pPr>
      <w:bookmarkStart w:id="19" w:name="_Toc509933851"/>
      <w:bookmarkStart w:id="20" w:name="_Toc3112"/>
      <w:bookmarkStart w:id="21" w:name="_Toc436205037"/>
      <w:bookmarkStart w:id="22" w:name="_Toc27464"/>
      <w:bookmarkStart w:id="23" w:name="_Toc510534530"/>
      <w:bookmarkStart w:id="24" w:name="_Toc22059"/>
      <w:r>
        <w:rPr>
          <w:rFonts w:hint="eastAsia" w:ascii="Times New Roman"/>
        </w:rPr>
        <w:t>术语和定义</w:t>
      </w:r>
      <w:bookmarkEnd w:id="19"/>
      <w:bookmarkEnd w:id="20"/>
      <w:bookmarkEnd w:id="21"/>
      <w:bookmarkEnd w:id="22"/>
      <w:bookmarkEnd w:id="23"/>
      <w:bookmarkEnd w:id="24"/>
    </w:p>
    <w:p w14:paraId="05002C9C">
      <w:pPr>
        <w:pStyle w:val="36"/>
        <w:spacing w:line="360" w:lineRule="auto"/>
        <w:ind w:firstLine="420"/>
      </w:pPr>
      <w:sdt>
        <w:sdtPr>
          <w:id w:val="-1909835108"/>
          <w:placeholder>
            <w:docPart w:val="{e6f72395-7899-4c74-9b10-93bd079692d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bookmarkStart w:id="25" w:name="_Toc26986532"/>
          <w:bookmarkEnd w:id="25"/>
          <w:r>
            <w:t>下列术语和定义适用于本</w:t>
          </w:r>
          <w:r>
            <w:rPr>
              <w:rFonts w:hint="eastAsia"/>
            </w:rPr>
            <w:t>文件</w:t>
          </w:r>
          <w:r>
            <w:t>。</w:t>
          </w:r>
        </w:sdtContent>
      </w:sdt>
    </w:p>
    <w:p w14:paraId="4207EBA7">
      <w:pPr>
        <w:pStyle w:val="37"/>
        <w:numPr>
          <w:ilvl w:val="2"/>
          <w:numId w:val="0"/>
        </w:numPr>
        <w:spacing w:line="360" w:lineRule="auto"/>
        <w:ind w:left="-420" w:leftChars="-200"/>
        <w:rPr>
          <w:rFonts w:hAnsi="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    3.1</w:t>
      </w:r>
      <w:r>
        <w:rPr>
          <w:rFonts w:hint="eastAsia" w:ascii="黑体" w:hAnsi="黑体" w:eastAsia="黑体"/>
          <w:color w:val="000000" w:themeColor="text1"/>
          <w:lang w:val="en-US" w:eastAsia="zh-CN"/>
          <w14:textFill>
            <w14:solidFill>
              <w14:schemeClr w14:val="tx1"/>
            </w14:solidFill>
          </w14:textFill>
        </w:rPr>
        <w:t xml:space="preserve"> </w:t>
      </w:r>
      <w:r>
        <w:rPr>
          <w:rFonts w:hint="eastAsia" w:ascii="黑体" w:hAnsi="黑体" w:eastAsia="黑体"/>
        </w:rPr>
        <w:t>生物</w:t>
      </w:r>
      <w:r>
        <w:rPr>
          <w:rFonts w:ascii="黑体" w:hAnsi="黑体" w:eastAsia="黑体"/>
        </w:rPr>
        <w:t>剂量估算  biological dose estimation</w:t>
      </w:r>
    </w:p>
    <w:p w14:paraId="6B29FD56">
      <w:pPr>
        <w:autoSpaceDE/>
        <w:autoSpaceDN/>
        <w:spacing w:line="360" w:lineRule="auto"/>
        <w:ind w:firstLine="420" w:firstLineChars="200"/>
        <w:jc w:val="left"/>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用具有</w:t>
      </w:r>
      <w:r>
        <w:rPr>
          <w:color w:val="000000" w:themeColor="text1"/>
          <w:kern w:val="0"/>
          <w14:textFill>
            <w14:solidFill>
              <w14:schemeClr w14:val="tx1"/>
            </w14:solidFill>
          </w14:textFill>
        </w:rPr>
        <w:t>稳定剂量-效应关系的分子或亚细胞结构变化等生物学指标定量估算受照射个体的辐射</w:t>
      </w:r>
      <w:r>
        <w:rPr>
          <w:rFonts w:hint="eastAsia"/>
          <w:color w:val="000000" w:themeColor="text1"/>
          <w:kern w:val="0"/>
          <w14:textFill>
            <w14:solidFill>
              <w14:schemeClr w14:val="tx1"/>
            </w14:solidFill>
          </w14:textFill>
        </w:rPr>
        <w:t>吸收</w:t>
      </w:r>
      <w:r>
        <w:rPr>
          <w:color w:val="000000" w:themeColor="text1"/>
          <w:kern w:val="0"/>
          <w14:textFill>
            <w14:solidFill>
              <w14:schemeClr w14:val="tx1"/>
            </w14:solidFill>
          </w14:textFill>
        </w:rPr>
        <w:t>剂量的方法</w:t>
      </w:r>
      <w:r>
        <w:rPr>
          <w:rFonts w:hint="eastAsia"/>
          <w:color w:val="000000" w:themeColor="text1"/>
          <w:kern w:val="0"/>
          <w14:textFill>
            <w14:solidFill>
              <w14:schemeClr w14:val="tx1"/>
            </w14:solidFill>
          </w14:textFill>
        </w:rPr>
        <w:t>。</w:t>
      </w:r>
    </w:p>
    <w:p w14:paraId="6599B7D4">
      <w:pPr>
        <w:pStyle w:val="37"/>
        <w:numPr>
          <w:ilvl w:val="2"/>
          <w:numId w:val="0"/>
        </w:numPr>
        <w:spacing w:line="360" w:lineRule="auto"/>
        <w:ind w:left="-420" w:leftChars="-200"/>
        <w:rPr>
          <w:rFonts w:hAnsi="黑体"/>
          <w:color w:val="000000" w:themeColor="text1"/>
          <w14:textFill>
            <w14:solidFill>
              <w14:schemeClr w14:val="tx1"/>
            </w14:solidFill>
          </w14:textFill>
        </w:rPr>
      </w:pPr>
      <w:r>
        <w:rPr>
          <w:rFonts w:hint="eastAsia" w:ascii="黑体" w:hAnsi="黑体" w:eastAsia="黑体"/>
        </w:rPr>
        <w:t xml:space="preserve">    3.2</w:t>
      </w:r>
      <w:r>
        <w:rPr>
          <w:rFonts w:hint="eastAsia" w:ascii="黑体" w:hAnsi="黑体" w:eastAsia="黑体"/>
          <w:lang w:val="en-US" w:eastAsia="zh-CN"/>
        </w:rPr>
        <w:t xml:space="preserve"> </w:t>
      </w:r>
      <w:r>
        <w:rPr>
          <w:rFonts w:hint="eastAsia" w:ascii="黑体" w:hAnsi="黑体" w:eastAsia="黑体"/>
        </w:rPr>
        <w:t>剂量-效应曲线</w:t>
      </w:r>
      <w:r>
        <w:rPr>
          <w:rFonts w:ascii="黑体" w:hAnsi="黑体" w:eastAsia="黑体"/>
        </w:rPr>
        <w:t xml:space="preserve">  dose-effect curve</w:t>
      </w:r>
    </w:p>
    <w:p w14:paraId="6FEE8F04">
      <w:pPr>
        <w:autoSpaceDE w:val="0"/>
        <w:autoSpaceDN w:val="0"/>
        <w:spacing w:line="360" w:lineRule="auto"/>
        <w:ind w:firstLine="420" w:firstLineChars="200"/>
        <w:jc w:val="left"/>
      </w:pPr>
      <w:r>
        <w:rPr>
          <w:rFonts w:hint="eastAsia"/>
          <w:kern w:val="0"/>
        </w:rPr>
        <w:t>描述生物效应依赖于剂量变化方式的曲线。</w:t>
      </w:r>
    </w:p>
    <w:p w14:paraId="74D1DF74">
      <w:pPr>
        <w:pStyle w:val="37"/>
        <w:numPr>
          <w:ilvl w:val="2"/>
          <w:numId w:val="0"/>
        </w:numPr>
        <w:spacing w:line="360" w:lineRule="auto"/>
        <w:ind w:left="-420" w:leftChars="-200"/>
        <w:outlineLvl w:val="9"/>
        <w:rPr>
          <w:rFonts w:hAnsi="黑体"/>
        </w:rPr>
      </w:pPr>
      <w:r>
        <w:rPr>
          <w:rFonts w:hint="eastAsia" w:ascii="黑体" w:hAnsi="黑体" w:eastAsia="黑体" w:cs="黑体"/>
        </w:rPr>
        <w:t xml:space="preserve">    </w:t>
      </w:r>
      <w:bookmarkStart w:id="26" w:name="_Toc10277"/>
      <w:r>
        <w:rPr>
          <w:rFonts w:hint="eastAsia" w:ascii="黑体" w:hAnsi="黑体" w:eastAsia="黑体" w:cs="黑体"/>
        </w:rPr>
        <w:t>3.3</w:t>
      </w:r>
      <w:r>
        <w:rPr>
          <w:rFonts w:hint="eastAsia" w:ascii="黑体" w:hAnsi="黑体" w:eastAsia="黑体" w:cs="黑体"/>
          <w:lang w:val="en-US" w:eastAsia="zh-CN"/>
        </w:rPr>
        <w:t xml:space="preserve"> </w:t>
      </w:r>
      <w:r>
        <w:rPr>
          <w:rFonts w:hint="eastAsia" w:ascii="黑体" w:hAnsi="黑体" w:eastAsia="黑体"/>
          <w:color w:val="000000" w:themeColor="text1"/>
          <w14:textFill>
            <w14:solidFill>
              <w14:schemeClr w14:val="tx1"/>
            </w14:solidFill>
          </w14:textFill>
        </w:rPr>
        <w:t>染色体</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 xml:space="preserve"> chromosome</w:t>
      </w:r>
    </w:p>
    <w:bookmarkEnd w:id="26"/>
    <w:p w14:paraId="5509A4C4">
      <w:pPr>
        <w:autoSpaceDE w:val="0"/>
        <w:autoSpaceDN w:val="0"/>
        <w:spacing w:line="360" w:lineRule="auto"/>
        <w:ind w:firstLine="420" w:firstLineChars="200"/>
        <w:jc w:val="left"/>
      </w:pPr>
      <w:r>
        <w:rPr>
          <w:rFonts w:hint="eastAsia"/>
          <w:kern w:val="0"/>
        </w:rPr>
        <w:t>遗传物质的主要载体，主要</w:t>
      </w:r>
      <w:r>
        <w:rPr>
          <w:rFonts w:hint="eastAsia"/>
          <w:kern w:val="0"/>
          <w:lang w:val="en-US" w:eastAsia="zh-CN"/>
        </w:rPr>
        <w:t>由</w:t>
      </w:r>
      <w:r>
        <w:rPr>
          <w:rFonts w:hint="eastAsia"/>
          <w:kern w:val="0"/>
        </w:rPr>
        <w:t>DNA和蛋白组成。在细胞分裂的中期用碱性染料染色呈丝状或棒状的小体。每个中期细胞的染色体均有2条染色单体。</w:t>
      </w:r>
    </w:p>
    <w:p w14:paraId="507ADC8C">
      <w:pPr>
        <w:pStyle w:val="37"/>
        <w:numPr>
          <w:ilvl w:val="2"/>
          <w:numId w:val="0"/>
        </w:numPr>
        <w:spacing w:line="360" w:lineRule="auto"/>
        <w:ind w:left="-420" w:leftChars="-200"/>
        <w:rPr>
          <w:rFonts w:hAnsi="黑体"/>
        </w:rPr>
      </w:pPr>
      <w:r>
        <w:rPr>
          <w:rFonts w:hint="eastAsia" w:ascii="黑体" w:hAnsi="黑体" w:eastAsia="黑体"/>
        </w:rPr>
        <w:t xml:space="preserve">    3.4</w:t>
      </w:r>
      <w:r>
        <w:rPr>
          <w:rFonts w:hint="eastAsia" w:ascii="黑体" w:hAnsi="黑体" w:eastAsia="黑体"/>
          <w:lang w:val="en-US" w:eastAsia="zh-CN"/>
        </w:rPr>
        <w:t xml:space="preserve"> </w:t>
      </w:r>
      <w:r>
        <w:rPr>
          <w:rFonts w:hint="eastAsia" w:ascii="黑体" w:hAnsi="黑体" w:eastAsia="黑体"/>
          <w:color w:val="000000" w:themeColor="text1"/>
          <w14:textFill>
            <w14:solidFill>
              <w14:schemeClr w14:val="tx1"/>
            </w14:solidFill>
          </w14:textFill>
        </w:rPr>
        <w:t>染色体畸变</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chromosomal aberration</w:t>
      </w:r>
    </w:p>
    <w:p w14:paraId="67921CE3">
      <w:pPr>
        <w:pStyle w:val="17"/>
        <w:spacing w:line="360" w:lineRule="auto"/>
        <w:ind w:firstLine="420"/>
      </w:pPr>
      <w:r>
        <w:rPr>
          <w:rFonts w:hint="eastAsia" w:hAnsi="宋体"/>
        </w:rPr>
        <w:t>正常染色体在受到物理（如电离辐射）、化学或生物因素作用下发生的数目和结构上的异常，称为染色体畸变。染色体畸变是电离辐射作用的敏感指标之一。</w:t>
      </w:r>
    </w:p>
    <w:p w14:paraId="385C33AD">
      <w:pPr>
        <w:pStyle w:val="37"/>
        <w:numPr>
          <w:ilvl w:val="2"/>
          <w:numId w:val="0"/>
        </w:numPr>
        <w:spacing w:line="360" w:lineRule="auto"/>
        <w:ind w:left="-420" w:leftChars="-200" w:firstLine="420"/>
        <w:outlineLvl w:val="9"/>
        <w:rPr>
          <w:rFonts w:ascii="黑体" w:hAnsi="黑体" w:eastAsia="黑体"/>
        </w:rPr>
      </w:pPr>
      <w:bookmarkStart w:id="27" w:name="_Toc26631"/>
      <w:r>
        <w:rPr>
          <w:rFonts w:hint="eastAsia" w:ascii="黑体" w:hAnsi="黑体" w:eastAsia="黑体"/>
        </w:rPr>
        <w:t>3.5</w:t>
      </w:r>
      <w:bookmarkEnd w:id="27"/>
      <w:r>
        <w:rPr>
          <w:rFonts w:hint="eastAsia" w:ascii="黑体" w:hAnsi="黑体" w:eastAsia="黑体"/>
          <w:lang w:val="en-US" w:eastAsia="zh-CN"/>
        </w:rPr>
        <w:t xml:space="preserve"> </w:t>
      </w:r>
      <w:r>
        <w:rPr>
          <w:rFonts w:hint="eastAsia" w:ascii="黑体" w:hAnsi="黑体" w:eastAsia="黑体"/>
          <w:color w:val="000000" w:themeColor="text1"/>
          <w14:textFill>
            <w14:solidFill>
              <w14:schemeClr w14:val="tx1"/>
            </w14:solidFill>
          </w14:textFill>
        </w:rPr>
        <w:t>双着丝粒染色体</w:t>
      </w:r>
      <w:r>
        <w:rPr>
          <w:rFonts w:ascii="黑体" w:hAnsi="黑体" w:eastAsia="黑体"/>
          <w:color w:val="000000" w:themeColor="text1"/>
          <w14:textFill>
            <w14:solidFill>
              <w14:schemeClr w14:val="tx1"/>
            </w14:solidFill>
          </w14:textFill>
        </w:rPr>
        <w:t xml:space="preserve">  </w:t>
      </w:r>
      <w:r>
        <w:rPr>
          <w:rFonts w:hint="eastAsia" w:ascii="黑体" w:hAnsi="黑体" w:eastAsia="黑体"/>
          <w:color w:val="000000" w:themeColor="text1"/>
          <w14:textFill>
            <w14:solidFill>
              <w14:schemeClr w14:val="tx1"/>
            </w14:solidFill>
          </w14:textFill>
        </w:rPr>
        <w:t>dicentric chromosome（d</w:t>
      </w:r>
      <w:r>
        <w:rPr>
          <w:rFonts w:ascii="黑体" w:hAnsi="黑体" w:eastAsia="黑体"/>
          <w:color w:val="000000" w:themeColor="text1"/>
          <w14:textFill>
            <w14:solidFill>
              <w14:schemeClr w14:val="tx1"/>
            </w14:solidFill>
          </w14:textFill>
        </w:rPr>
        <w:t>ic</w:t>
      </w:r>
      <w:r>
        <w:rPr>
          <w:rFonts w:hint="eastAsia" w:ascii="黑体" w:hAnsi="黑体" w:eastAsia="黑体"/>
          <w:color w:val="000000" w:themeColor="text1"/>
          <w14:textFill>
            <w14:solidFill>
              <w14:schemeClr w14:val="tx1"/>
            </w14:solidFill>
          </w14:textFill>
        </w:rPr>
        <w:t>）</w:t>
      </w:r>
    </w:p>
    <w:p w14:paraId="39687F67">
      <w:pPr>
        <w:pStyle w:val="39"/>
        <w:numPr>
          <w:ilvl w:val="0"/>
          <w:numId w:val="0"/>
        </w:numPr>
        <w:spacing w:before="120" w:after="120" w:line="360" w:lineRule="auto"/>
        <w:ind w:firstLine="420" w:firstLineChars="200"/>
        <w:outlineLvl w:val="9"/>
        <w:rPr>
          <w:rFonts w:ascii="宋体" w:hAnsi="宋体" w:eastAsia="宋体"/>
        </w:rPr>
      </w:pPr>
      <w:bookmarkStart w:id="28" w:name="_Toc86162188"/>
      <w:bookmarkStart w:id="29" w:name="_Toc27549"/>
      <w:r>
        <w:rPr>
          <w:rFonts w:ascii="宋体" w:hAnsi="宋体" w:eastAsia="宋体"/>
        </w:rPr>
        <w:t>具有两个着丝粒的染色体称为双着丝粒染色体，为不对称互换。两条染色体各发生一次断裂后，具有着丝粒的部分连接形成双着丝粒</w:t>
      </w:r>
      <w:r>
        <w:rPr>
          <w:rFonts w:hint="eastAsia" w:ascii="宋体" w:hAnsi="宋体" w:eastAsia="宋体"/>
        </w:rPr>
        <w:t>染色体</w:t>
      </w:r>
      <w:r>
        <w:rPr>
          <w:rFonts w:ascii="宋体" w:hAnsi="宋体" w:eastAsia="宋体"/>
        </w:rPr>
        <w:t>，而无着丝粒断片连接形成断片。</w:t>
      </w:r>
      <w:bookmarkEnd w:id="28"/>
      <w:bookmarkEnd w:id="29"/>
    </w:p>
    <w:p w14:paraId="1183176B">
      <w:pPr>
        <w:spacing w:line="360" w:lineRule="auto"/>
        <w:ind w:firstLine="0"/>
        <w:rPr>
          <w:rFonts w:ascii="黑体" w:hAnsi="黑体" w:eastAsia="黑体" w:cs="黑体"/>
        </w:rPr>
      </w:pPr>
      <w:r>
        <w:rPr>
          <w:rFonts w:hint="eastAsia" w:ascii="黑体" w:hAnsi="黑体" w:eastAsia="黑体"/>
        </w:rPr>
        <w:t>3.6</w:t>
      </w:r>
      <w:r>
        <w:rPr>
          <w:rFonts w:hint="eastAsia" w:ascii="黑体" w:hAnsi="黑体" w:eastAsia="黑体"/>
          <w:lang w:val="en-US" w:eastAsia="zh-CN"/>
        </w:rPr>
        <w:t xml:space="preserve"> </w:t>
      </w:r>
      <w:r>
        <w:rPr>
          <w:rFonts w:hint="eastAsia" w:ascii="黑体" w:hAnsi="黑体" w:eastAsia="黑体" w:cs="黑体"/>
        </w:rPr>
        <w:t xml:space="preserve">半自动分析 </w:t>
      </w:r>
      <w:r>
        <w:rPr>
          <w:rFonts w:hint="eastAsia" w:ascii="黑体" w:hAnsi="黑体" w:eastAsia="黑体" w:cs="黑体"/>
          <w:szCs w:val="21"/>
        </w:rPr>
        <w:t>semi-automatic analysis</w:t>
      </w:r>
    </w:p>
    <w:p w14:paraId="63107065">
      <w:pPr>
        <w:pStyle w:val="36"/>
        <w:spacing w:line="360" w:lineRule="auto"/>
        <w:ind w:firstLine="0" w:firstLineChars="0"/>
      </w:pPr>
      <w:r>
        <w:rPr>
          <w:rFonts w:hint="eastAsia" w:ascii="DY106+ZHJCZR-106" w:hAnsi="DY106+ZHJCZR-106" w:cs="DY106+ZHJCZR-106"/>
          <w:szCs w:val="21"/>
        </w:rPr>
        <w:t xml:space="preserve">    半自动分析是一种介于</w:t>
      </w:r>
      <w:r>
        <w:rPr>
          <w:rFonts w:hint="eastAsia" w:ascii="DY106+ZHJCZR-106" w:hAnsi="DY106+ZHJCZR-106" w:cs="DY106+ZHJCZR-106"/>
          <w:szCs w:val="21"/>
          <w:lang w:val="en-US" w:eastAsia="zh-CN"/>
        </w:rPr>
        <w:t>人工</w:t>
      </w:r>
      <w:r>
        <w:rPr>
          <w:rFonts w:hint="eastAsia" w:ascii="DY106+ZHJCZR-106" w:hAnsi="DY106+ZHJCZR-106" w:cs="DY106+ZHJCZR-106"/>
          <w:szCs w:val="21"/>
        </w:rPr>
        <w:t>和全自动之间的分析技术，它结合了人工操作和自动化技术的优势</w:t>
      </w:r>
      <w:r>
        <w:rPr>
          <w:rFonts w:hint="eastAsia" w:ascii="DY106+ZHJCZR-106" w:hAnsi="DY106+ZHJCZR-106" w:cs="DY106+ZHJCZR-106"/>
          <w:szCs w:val="21"/>
          <w:lang w:eastAsia="zh-CN"/>
        </w:rPr>
        <w:t>，</w:t>
      </w:r>
      <w:r>
        <w:rPr>
          <w:rFonts w:hint="eastAsia" w:ascii="DY106+ZHJCZR-106" w:hAnsi="DY106+ZHJCZR-106" w:cs="DY106+ZHJCZR-106"/>
          <w:szCs w:val="21"/>
        </w:rPr>
        <w:t>涉及部分由模仿</w:t>
      </w:r>
      <w:r>
        <w:rPr>
          <w:rFonts w:hint="eastAsia" w:ascii="DY106+ZHJCZR-106" w:hAnsi="DY106+ZHJCZR-106" w:cs="DY106+ZHJCZR-106"/>
          <w:szCs w:val="21"/>
          <w:lang w:val="en-US" w:eastAsia="zh-CN"/>
        </w:rPr>
        <w:t>人工</w:t>
      </w:r>
      <w:r>
        <w:rPr>
          <w:rFonts w:hint="eastAsia" w:ascii="DY106+ZHJCZR-106" w:hAnsi="DY106+ZHJCZR-106" w:cs="DY106+ZHJCZR-106"/>
          <w:szCs w:val="21"/>
        </w:rPr>
        <w:t>操作的仪器来完成的分析步骤</w:t>
      </w:r>
      <w:r>
        <w:rPr>
          <w:rFonts w:hint="eastAsia" w:ascii="DY106+ZHJCZR-106" w:hAnsi="DY106+ZHJCZR-106" w:cs="DY106+ZHJCZR-106"/>
          <w:szCs w:val="21"/>
          <w:lang w:eastAsia="zh-CN"/>
        </w:rPr>
        <w:t>，</w:t>
      </w:r>
      <w:r>
        <w:rPr>
          <w:rFonts w:hint="eastAsia" w:ascii="DY106+ZHJCZR-106" w:hAnsi="DY106+ZHJCZR-106" w:cs="DY106+ZHJCZR-106"/>
          <w:szCs w:val="21"/>
          <w:lang w:val="en-US" w:eastAsia="zh-CN"/>
        </w:rPr>
        <w:t>具有高通量、</w:t>
      </w:r>
      <w:r>
        <w:rPr>
          <w:rFonts w:hint="eastAsia" w:ascii="DY106+ZHJCZR-106" w:hAnsi="DY106+ZHJCZR-106" w:cs="DY106+ZHJCZR-106"/>
          <w:szCs w:val="21"/>
          <w:lang w:eastAsia="zh-CN"/>
        </w:rPr>
        <w:t>快速、简便、准确、标准化</w:t>
      </w:r>
      <w:r>
        <w:rPr>
          <w:rFonts w:hint="eastAsia" w:ascii="DY106+ZHJCZR-106" w:hAnsi="DY106+ZHJCZR-106" w:cs="DY106+ZHJCZR-106"/>
          <w:szCs w:val="21"/>
          <w:lang w:val="en-US" w:eastAsia="zh-CN"/>
        </w:rPr>
        <w:t>等特点。</w:t>
      </w:r>
    </w:p>
    <w:p w14:paraId="311F75CF">
      <w:pPr>
        <w:pStyle w:val="17"/>
        <w:tabs>
          <w:tab w:val="center" w:pos="4201"/>
          <w:tab w:val="right" w:leader="dot" w:pos="9298"/>
        </w:tabs>
        <w:spacing w:line="360" w:lineRule="auto"/>
        <w:ind w:firstLine="0" w:firstLineChars="0"/>
        <w:outlineLvl w:val="0"/>
        <w:rPr>
          <w:rFonts w:ascii="Times New Roman"/>
          <w:color w:val="000000"/>
        </w:rPr>
      </w:pPr>
      <w:bookmarkStart w:id="30" w:name="_Toc24448"/>
      <w:bookmarkStart w:id="31" w:name="_Toc10519"/>
      <w:bookmarkStart w:id="32" w:name="_Toc2868"/>
      <w:r>
        <w:rPr>
          <w:rFonts w:hint="eastAsia" w:ascii="Times New Roman"/>
          <w:color w:val="000000"/>
        </w:rPr>
        <w:t xml:space="preserve">4  </w:t>
      </w:r>
      <w:r>
        <w:rPr>
          <w:rFonts w:hint="eastAsia" w:ascii="Times New Roman" w:eastAsia="黑体" w:hAnsiTheme="minorHAnsi" w:cstheme="minorBidi"/>
          <w:kern w:val="2"/>
          <w:szCs w:val="22"/>
        </w:rPr>
        <w:t>规范性技术要素</w:t>
      </w:r>
      <w:bookmarkEnd w:id="30"/>
      <w:bookmarkEnd w:id="31"/>
      <w:bookmarkEnd w:id="32"/>
    </w:p>
    <w:p w14:paraId="3F75ECE7">
      <w:pPr>
        <w:pStyle w:val="40"/>
        <w:numPr>
          <w:ilvl w:val="1"/>
          <w:numId w:val="0"/>
        </w:numPr>
        <w:spacing w:before="240" w:after="240" w:line="360" w:lineRule="auto"/>
        <w:outlineLvl w:val="1"/>
      </w:pPr>
      <w:bookmarkStart w:id="33" w:name="_Toc14553"/>
      <w:bookmarkStart w:id="34" w:name="_Toc16236"/>
      <w:bookmarkStart w:id="35" w:name="_Toc8740"/>
      <w:bookmarkStart w:id="36" w:name="_Toc86162190"/>
      <w:r>
        <w:rPr>
          <w:rFonts w:hint="eastAsia"/>
        </w:rPr>
        <w:t xml:space="preserve">4.1 </w:t>
      </w:r>
      <w:r>
        <w:rPr>
          <w:rFonts w:hint="eastAsia" w:ascii="Times New Roman" w:hAnsiTheme="minorHAnsi" w:cstheme="minorBidi"/>
          <w:kern w:val="2"/>
        </w:rPr>
        <w:t>主要</w:t>
      </w:r>
      <w:r>
        <w:rPr>
          <w:rFonts w:hint="eastAsia"/>
        </w:rPr>
        <w:t>仪器</w:t>
      </w:r>
      <w:r>
        <w:rPr>
          <w:rFonts w:hint="eastAsia" w:ascii="Times New Roman" w:hAnsiTheme="minorHAnsi" w:cstheme="minorBidi"/>
          <w:kern w:val="2"/>
          <w:lang w:val="en-US" w:eastAsia="zh-CN"/>
        </w:rPr>
        <w:t>和</w:t>
      </w:r>
      <w:r>
        <w:rPr>
          <w:rFonts w:hint="eastAsia" w:ascii="Times New Roman" w:hAnsiTheme="minorHAnsi" w:cstheme="minorBidi"/>
          <w:kern w:val="2"/>
        </w:rPr>
        <w:t>试剂配制</w:t>
      </w:r>
      <w:bookmarkEnd w:id="33"/>
      <w:bookmarkEnd w:id="34"/>
      <w:bookmarkEnd w:id="35"/>
    </w:p>
    <w:bookmarkEnd w:id="36"/>
    <w:p w14:paraId="24AE2A91">
      <w:pPr>
        <w:pStyle w:val="17"/>
        <w:tabs>
          <w:tab w:val="center" w:pos="4201"/>
          <w:tab w:val="right" w:leader="dot" w:pos="9298"/>
        </w:tabs>
        <w:spacing w:line="360" w:lineRule="auto"/>
        <w:ind w:firstLine="420"/>
      </w:pPr>
      <w:r>
        <w:rPr>
          <w:rFonts w:hint="eastAsia"/>
        </w:rPr>
        <w:t>主要仪器和试剂配制参见附录A，其中</w:t>
      </w:r>
      <w:r>
        <w:rPr>
          <w:rFonts w:ascii="Times New Roman"/>
        </w:rPr>
        <w:t>RPMI-1640培养基可购买有产品注册号的市售产品</w:t>
      </w:r>
      <w:r>
        <w:rPr>
          <w:rFonts w:hint="eastAsia" w:ascii="Times New Roman"/>
        </w:rPr>
        <w:t>。</w:t>
      </w:r>
    </w:p>
    <w:p w14:paraId="3F135AC3">
      <w:pPr>
        <w:pStyle w:val="40"/>
        <w:numPr>
          <w:ilvl w:val="1"/>
          <w:numId w:val="0"/>
        </w:numPr>
        <w:spacing w:before="240" w:after="240" w:line="360" w:lineRule="auto"/>
        <w:outlineLvl w:val="1"/>
      </w:pPr>
      <w:bookmarkStart w:id="37" w:name="_Toc17408"/>
      <w:bookmarkStart w:id="38" w:name="_Toc10147"/>
      <w:bookmarkStart w:id="39" w:name="_Toc4286"/>
      <w:r>
        <w:rPr>
          <w:rFonts w:hint="eastAsia"/>
        </w:rPr>
        <w:t>4.2 外周血样品的采集、保存和运输</w:t>
      </w:r>
      <w:bookmarkEnd w:id="37"/>
      <w:bookmarkEnd w:id="38"/>
      <w:bookmarkEnd w:id="39"/>
    </w:p>
    <w:p w14:paraId="025F2EFA">
      <w:pPr>
        <w:pStyle w:val="39"/>
        <w:numPr>
          <w:ilvl w:val="2"/>
          <w:numId w:val="0"/>
        </w:numPr>
        <w:spacing w:before="120" w:after="120" w:line="360" w:lineRule="auto"/>
        <w:outlineLvl w:val="9"/>
      </w:pPr>
      <w:bookmarkStart w:id="40" w:name="_Toc4883"/>
      <w:r>
        <w:rPr>
          <w:rFonts w:hint="eastAsia"/>
        </w:rPr>
        <w:t>4.2.1 拟合剂量-效应曲线采样要求</w:t>
      </w:r>
      <w:bookmarkEnd w:id="40"/>
    </w:p>
    <w:p w14:paraId="1B252A73">
      <w:pPr>
        <w:pStyle w:val="17"/>
        <w:tabs>
          <w:tab w:val="center" w:pos="4201"/>
          <w:tab w:val="right" w:leader="dot" w:pos="9298"/>
        </w:tabs>
        <w:spacing w:line="360" w:lineRule="auto"/>
        <w:ind w:firstLine="420" w:firstLineChars="0"/>
        <w:rPr>
          <w:rFonts w:ascii="Times New Roman"/>
        </w:rPr>
      </w:pPr>
      <w:r>
        <w:rPr>
          <w:rFonts w:ascii="Times New Roman"/>
        </w:rPr>
        <w:t>采血样前须获取志愿者的知情同意。</w:t>
      </w:r>
      <w:r>
        <w:rPr>
          <w:rFonts w:hint="eastAsia" w:ascii="Times New Roman"/>
          <w:lang w:val="en-US" w:eastAsia="zh-CN"/>
        </w:rPr>
        <w:t>4</w:t>
      </w:r>
      <w:r>
        <w:rPr>
          <w:rFonts w:ascii="Times New Roman"/>
        </w:rPr>
        <w:t>名～</w:t>
      </w:r>
      <w:r>
        <w:rPr>
          <w:rFonts w:hint="eastAsia" w:ascii="Times New Roman"/>
          <w:lang w:val="en-US" w:eastAsia="zh-CN"/>
        </w:rPr>
        <w:t>10</w:t>
      </w:r>
      <w:r>
        <w:rPr>
          <w:rFonts w:ascii="Times New Roman"/>
        </w:rPr>
        <w:t>名健康成年人，非放射工作者，男女各半，年龄在18岁～60岁，无烟酒嗜好，半年内无急慢性疾病史、无射线和化学毒物接触史，近一个月内无病毒感染史。用真空肝素钠或肝素锂采血管，每人抽取静脉血20 m</w:t>
      </w:r>
      <w:r>
        <w:rPr>
          <w:rFonts w:hint="eastAsia" w:ascii="Times New Roman"/>
          <w:lang w:val="en-US" w:eastAsia="zh-CN"/>
        </w:rPr>
        <w:t>l</w:t>
      </w:r>
      <w:r>
        <w:rPr>
          <w:rFonts w:ascii="Times New Roman"/>
        </w:rPr>
        <w:t>，颠倒混匀，用于离体照射和剂量</w:t>
      </w:r>
      <w:r>
        <w:rPr>
          <w:rFonts w:hint="eastAsia" w:ascii="Times New Roman"/>
          <w:lang w:val="en-US" w:eastAsia="zh-CN"/>
        </w:rPr>
        <w:t>-</w:t>
      </w:r>
      <w:r>
        <w:rPr>
          <w:rFonts w:ascii="Times New Roman"/>
        </w:rPr>
        <w:t>效应曲线的拟合。</w:t>
      </w:r>
    </w:p>
    <w:p w14:paraId="7EC86582">
      <w:pPr>
        <w:pStyle w:val="39"/>
        <w:numPr>
          <w:ilvl w:val="2"/>
          <w:numId w:val="0"/>
        </w:numPr>
        <w:spacing w:before="120" w:after="120" w:line="360" w:lineRule="auto"/>
        <w:outlineLvl w:val="9"/>
      </w:pPr>
      <w:bookmarkStart w:id="41" w:name="_Toc13525"/>
      <w:r>
        <w:rPr>
          <w:rFonts w:hint="eastAsia"/>
        </w:rPr>
        <w:t xml:space="preserve">4.2.2 </w:t>
      </w:r>
      <w:r>
        <w:t>估算生物剂量</w:t>
      </w:r>
      <w:r>
        <w:rPr>
          <w:rFonts w:hint="eastAsia"/>
        </w:rPr>
        <w:t>采样要求</w:t>
      </w:r>
      <w:bookmarkEnd w:id="41"/>
    </w:p>
    <w:p w14:paraId="0CE3A7B2">
      <w:pPr>
        <w:pStyle w:val="17"/>
        <w:tabs>
          <w:tab w:val="center" w:pos="4201"/>
          <w:tab w:val="right" w:leader="dot" w:pos="9298"/>
        </w:tabs>
        <w:spacing w:line="360" w:lineRule="auto"/>
        <w:ind w:firstLine="420" w:firstLineChars="0"/>
        <w:rPr>
          <w:rFonts w:ascii="Times New Roman"/>
        </w:rPr>
      </w:pPr>
      <w:r>
        <w:rPr>
          <w:rFonts w:ascii="Times New Roman"/>
        </w:rPr>
        <w:t>采集静脉血约4 m</w:t>
      </w:r>
      <w:r>
        <w:rPr>
          <w:rFonts w:hint="eastAsia" w:ascii="Times New Roman"/>
          <w:lang w:val="en-US" w:eastAsia="zh-CN"/>
        </w:rPr>
        <w:t>l</w:t>
      </w:r>
      <w:r>
        <w:rPr>
          <w:rFonts w:ascii="Times New Roman"/>
        </w:rPr>
        <w:t>～5 m</w:t>
      </w:r>
      <w:r>
        <w:rPr>
          <w:rFonts w:hint="eastAsia" w:ascii="Times New Roman"/>
          <w:lang w:val="en-US" w:eastAsia="zh-CN"/>
        </w:rPr>
        <w:t>l</w:t>
      </w:r>
      <w:r>
        <w:rPr>
          <w:rFonts w:ascii="Times New Roman"/>
        </w:rPr>
        <w:t>，肝素抗凝，颠倒混匀。</w:t>
      </w:r>
    </w:p>
    <w:p w14:paraId="195D0882">
      <w:pPr>
        <w:pStyle w:val="17"/>
        <w:tabs>
          <w:tab w:val="center" w:pos="4201"/>
          <w:tab w:val="right" w:leader="dot" w:pos="9298"/>
        </w:tabs>
        <w:spacing w:line="360" w:lineRule="auto"/>
        <w:ind w:firstLine="0" w:firstLineChars="0"/>
        <w:rPr>
          <w:rFonts w:hint="eastAsia" w:ascii="Times New Roman"/>
          <w:lang w:val="en-US" w:eastAsia="zh-CN"/>
        </w:rPr>
      </w:pPr>
      <w:r>
        <w:rPr>
          <w:rFonts w:hint="eastAsia" w:ascii="黑体" w:eastAsia="黑体"/>
          <w:szCs w:val="22"/>
          <w:lang w:val="en-US" w:eastAsia="zh-CN"/>
        </w:rPr>
        <w:t xml:space="preserve">4.2.3 </w:t>
      </w:r>
      <w:r>
        <w:rPr>
          <w:rFonts w:hint="eastAsia" w:ascii="Times New Roman"/>
          <w:lang w:val="en-US" w:eastAsia="zh-CN"/>
        </w:rPr>
        <w:t>样品的保存和运输要求</w:t>
      </w:r>
    </w:p>
    <w:p w14:paraId="32972C22">
      <w:pPr>
        <w:pStyle w:val="17"/>
        <w:tabs>
          <w:tab w:val="center" w:pos="4201"/>
          <w:tab w:val="right" w:leader="dot" w:pos="9298"/>
        </w:tabs>
        <w:spacing w:line="360" w:lineRule="auto"/>
        <w:ind w:firstLine="420" w:firstLineChars="200"/>
        <w:rPr>
          <w:rFonts w:hint="default" w:ascii="Times New Roman"/>
          <w:lang w:val="en-US" w:eastAsia="zh-CN"/>
        </w:rPr>
      </w:pPr>
      <w:r>
        <w:rPr>
          <w:rFonts w:ascii="Times New Roman"/>
        </w:rPr>
        <w:t>静脉血保存和运输</w:t>
      </w:r>
      <w:r>
        <w:rPr>
          <w:rFonts w:hint="eastAsia" w:ascii="Times New Roman"/>
          <w:lang w:val="en-US" w:eastAsia="zh-CN"/>
        </w:rPr>
        <w:t>的</w:t>
      </w:r>
      <w:r>
        <w:rPr>
          <w:rFonts w:ascii="Times New Roman"/>
        </w:rPr>
        <w:t>最佳温度是18℃～24℃，</w:t>
      </w:r>
      <w:r>
        <w:rPr>
          <w:rFonts w:hint="eastAsia" w:ascii="Times New Roman"/>
          <w:lang w:val="en-US" w:eastAsia="zh-CN"/>
        </w:rPr>
        <w:t>应尽早送达实验室，以不超过48</w:t>
      </w:r>
      <w:r>
        <w:rPr>
          <w:rFonts w:ascii="Times New Roman"/>
        </w:rPr>
        <w:t> h为宜</w:t>
      </w:r>
      <w:r>
        <w:rPr>
          <w:rFonts w:hint="eastAsia" w:ascii="Times New Roman"/>
          <w:lang w:eastAsia="zh-CN"/>
        </w:rPr>
        <w:t>，</w:t>
      </w:r>
      <w:r>
        <w:rPr>
          <w:rFonts w:hint="eastAsia" w:ascii="Times New Roman"/>
          <w:lang w:val="en-US" w:eastAsia="zh-CN"/>
        </w:rPr>
        <w:t>运输过程中应避免污染、溶血和额外的电离辐射照射。</w:t>
      </w:r>
    </w:p>
    <w:p w14:paraId="15A01231">
      <w:pPr>
        <w:pStyle w:val="40"/>
        <w:numPr>
          <w:ilvl w:val="1"/>
          <w:numId w:val="0"/>
        </w:numPr>
        <w:spacing w:before="240" w:after="240" w:line="360" w:lineRule="auto"/>
        <w:outlineLvl w:val="1"/>
      </w:pPr>
      <w:bookmarkStart w:id="42" w:name="_Toc503606338"/>
      <w:bookmarkStart w:id="43" w:name="_Toc76241487"/>
      <w:bookmarkStart w:id="44" w:name="_Toc76762516"/>
      <w:bookmarkStart w:id="45" w:name="_Toc86162226"/>
      <w:bookmarkStart w:id="46" w:name="_Toc87375121"/>
      <w:bookmarkStart w:id="47" w:name="_Toc77020190"/>
      <w:bookmarkStart w:id="48" w:name="_Toc76210007"/>
      <w:bookmarkStart w:id="49" w:name="_Toc87788476"/>
      <w:bookmarkStart w:id="50" w:name="_Toc76211769"/>
      <w:bookmarkStart w:id="51" w:name="_Toc503606080"/>
      <w:bookmarkStart w:id="52" w:name="_Toc77574374"/>
      <w:bookmarkStart w:id="53" w:name="_Toc77574346"/>
      <w:bookmarkStart w:id="54" w:name="_Toc77020825"/>
      <w:bookmarkStart w:id="55" w:name="_Toc86162193"/>
      <w:bookmarkStart w:id="56" w:name="_Toc3251"/>
      <w:bookmarkStart w:id="57" w:name="_Toc23498"/>
      <w:bookmarkStart w:id="58" w:name="_Toc21572"/>
      <w:r>
        <w:rPr>
          <w:rFonts w:hint="eastAsia"/>
        </w:rPr>
        <w:t>4.3 照射条件和</w:t>
      </w:r>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rPr>
        <w:t>微量全血培养</w:t>
      </w:r>
      <w:bookmarkEnd w:id="56"/>
      <w:bookmarkEnd w:id="57"/>
      <w:bookmarkEnd w:id="58"/>
    </w:p>
    <w:p w14:paraId="4A38D22C">
      <w:pPr>
        <w:pStyle w:val="39"/>
        <w:numPr>
          <w:ilvl w:val="2"/>
          <w:numId w:val="0"/>
        </w:numPr>
        <w:spacing w:before="120" w:after="120" w:line="360" w:lineRule="auto"/>
        <w:outlineLvl w:val="9"/>
      </w:pPr>
      <w:bookmarkStart w:id="59" w:name="_Toc22187"/>
      <w:r>
        <w:rPr>
          <w:rFonts w:hint="eastAsia"/>
        </w:rPr>
        <w:t>4.3.1 离体照射条件</w:t>
      </w:r>
      <w:bookmarkEnd w:id="59"/>
    </w:p>
    <w:p w14:paraId="5755E539">
      <w:pPr>
        <w:pStyle w:val="17"/>
        <w:tabs>
          <w:tab w:val="center" w:pos="4201"/>
          <w:tab w:val="right" w:leader="dot" w:pos="9298"/>
        </w:tabs>
        <w:spacing w:line="360" w:lineRule="auto"/>
        <w:ind w:firstLine="0" w:firstLineChars="0"/>
        <w:rPr>
          <w:rFonts w:ascii="Times New Roman"/>
        </w:rPr>
      </w:pPr>
      <w:r>
        <w:rPr>
          <w:rFonts w:hint="eastAsia" w:ascii="黑体" w:hAnsi="黑体" w:eastAsia="黑体" w:cs="黑体"/>
        </w:rPr>
        <w:t>4.3.1.1</w:t>
      </w:r>
      <w:r>
        <w:rPr>
          <w:rFonts w:hint="eastAsia" w:ascii="Times New Roman"/>
        </w:rPr>
        <w:t xml:space="preserve">  </w:t>
      </w:r>
      <w:r>
        <w:rPr>
          <w:rFonts w:hint="eastAsia" w:ascii="Times New Roman"/>
          <w:lang w:val="en-US" w:eastAsia="zh-CN"/>
        </w:rPr>
        <w:t>应</w:t>
      </w:r>
      <w:r>
        <w:rPr>
          <w:rFonts w:ascii="Times New Roman"/>
        </w:rPr>
        <w:t>提供可靠的、明确的照射样品的物理剂量。受照样品应与照射源保持一定的距离以达到均匀照射的目的。有条件的实验室应建立包括不同辐射类型</w:t>
      </w:r>
      <w:r>
        <w:rPr>
          <w:rFonts w:hint="eastAsia" w:ascii="Times New Roman"/>
          <w:lang w:eastAsia="zh-CN"/>
        </w:rPr>
        <w:t>（</w:t>
      </w:r>
      <w:r>
        <w:rPr>
          <w:rFonts w:ascii="Times New Roman"/>
        </w:rPr>
        <w:t>如</w:t>
      </w:r>
      <w:r>
        <w:rPr>
          <w:rFonts w:hint="eastAsia" w:asciiTheme="minorEastAsia" w:hAnsiTheme="minorEastAsia" w:eastAsiaTheme="minorEastAsia" w:cstheme="minorEastAsia"/>
        </w:rPr>
        <w:t>X射线、γ射线、中子</w:t>
      </w:r>
      <w:r>
        <w:rPr>
          <w:rFonts w:hint="eastAsia" w:ascii="Times New Roman"/>
          <w:lang w:eastAsia="zh-CN"/>
        </w:rPr>
        <w:t>）</w:t>
      </w:r>
      <w:r>
        <w:rPr>
          <w:rFonts w:ascii="Times New Roman"/>
        </w:rPr>
        <w:t>、不同剂量率的剂量-效应标准曲线。</w:t>
      </w:r>
      <w:r>
        <w:rPr>
          <w:rFonts w:hint="eastAsia" w:ascii="Times New Roman"/>
        </w:rPr>
        <w:t>参见GB/T 28236。</w:t>
      </w:r>
    </w:p>
    <w:p w14:paraId="737F79FD">
      <w:pPr>
        <w:pStyle w:val="17"/>
        <w:tabs>
          <w:tab w:val="center" w:pos="4201"/>
          <w:tab w:val="right" w:leader="dot" w:pos="9298"/>
        </w:tabs>
        <w:spacing w:line="360" w:lineRule="auto"/>
        <w:ind w:firstLine="0" w:firstLineChars="0"/>
        <w:rPr>
          <w:rFonts w:asciiTheme="minorEastAsia" w:hAnsiTheme="minorEastAsia" w:eastAsiaTheme="minorEastAsia" w:cstheme="minorEastAsia"/>
        </w:rPr>
      </w:pPr>
      <w:r>
        <w:rPr>
          <w:rFonts w:hint="eastAsia" w:ascii="黑体" w:hAnsi="黑体" w:eastAsia="黑体" w:cs="黑体"/>
        </w:rPr>
        <w:t xml:space="preserve">4.3.1.2 </w:t>
      </w:r>
      <w:r>
        <w:rPr>
          <w:rFonts w:hint="eastAsia" w:ascii="Times New Roman"/>
        </w:rPr>
        <w:t xml:space="preserve"> </w:t>
      </w:r>
      <w:r>
        <w:rPr>
          <w:rFonts w:hint="eastAsia" w:asciiTheme="minorEastAsia" w:hAnsiTheme="minorEastAsia" w:eastAsiaTheme="minorEastAsia" w:cstheme="minorEastAsia"/>
        </w:rPr>
        <w:t>对于低LET辐射，剂量范围选择0.1 Gy～5.0 Gy，剂量率介于0.2 Gy/min～1.0 Gy/min之间，选择不少于8个剂量点</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对于高LET辐射，剂量范围选择0.01 Gy～3.0 Gy，选择不少于</w:t>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个剂量点。</w:t>
      </w:r>
    </w:p>
    <w:p w14:paraId="00D3DCAF">
      <w:pPr>
        <w:pStyle w:val="17"/>
        <w:tabs>
          <w:tab w:val="center" w:pos="4201"/>
          <w:tab w:val="right" w:leader="dot" w:pos="9298"/>
        </w:tabs>
        <w:spacing w:line="360" w:lineRule="auto"/>
        <w:ind w:firstLine="0" w:firstLineChars="0"/>
        <w:rPr>
          <w:rFonts w:asciiTheme="minorEastAsia" w:hAnsiTheme="minorEastAsia" w:eastAsiaTheme="minorEastAsia" w:cstheme="minorEastAsia"/>
        </w:rPr>
      </w:pPr>
      <w:r>
        <w:rPr>
          <w:rFonts w:hint="eastAsia" w:ascii="黑体" w:hAnsi="黑体" w:eastAsia="黑体" w:cs="黑体"/>
        </w:rPr>
        <w:t>4.3.1.3</w:t>
      </w:r>
      <w:r>
        <w:rPr>
          <w:rFonts w:hint="eastAsia"/>
        </w:rPr>
        <w:t xml:space="preserve">  照</w:t>
      </w:r>
      <w:r>
        <w:rPr>
          <w:rFonts w:hint="eastAsia" w:asciiTheme="minorEastAsia" w:hAnsiTheme="minorEastAsia" w:eastAsiaTheme="minorEastAsia" w:cstheme="minorEastAsia"/>
        </w:rPr>
        <w:t>射后在37 ℃±0.5 ℃恒温水浴箱（锅）中孵育2h。</w:t>
      </w:r>
    </w:p>
    <w:p w14:paraId="1414C7B4">
      <w:pPr>
        <w:pStyle w:val="39"/>
        <w:numPr>
          <w:ilvl w:val="2"/>
          <w:numId w:val="0"/>
        </w:numPr>
        <w:spacing w:before="120" w:after="120" w:line="360" w:lineRule="auto"/>
        <w:outlineLvl w:val="9"/>
      </w:pPr>
      <w:bookmarkStart w:id="60" w:name="_Toc6517"/>
      <w:bookmarkStart w:id="61" w:name="_Toc86162195"/>
      <w:r>
        <w:rPr>
          <w:rFonts w:hint="eastAsia"/>
        </w:rPr>
        <w:t>4.3.2 微量全血培养</w:t>
      </w:r>
      <w:bookmarkEnd w:id="60"/>
      <w:bookmarkEnd w:id="61"/>
    </w:p>
    <w:p w14:paraId="7727E04C">
      <w:pPr>
        <w:pStyle w:val="17"/>
        <w:tabs>
          <w:tab w:val="center" w:pos="4201"/>
          <w:tab w:val="right" w:leader="dot" w:pos="9298"/>
        </w:tabs>
        <w:spacing w:line="360" w:lineRule="auto"/>
        <w:ind w:firstLine="420"/>
        <w:rPr>
          <w:rFonts w:asciiTheme="minorEastAsia" w:hAnsiTheme="minorEastAsia" w:eastAsiaTheme="minorEastAsia" w:cstheme="minorEastAsia"/>
          <w:szCs w:val="22"/>
        </w:rPr>
      </w:pPr>
      <w:r>
        <w:rPr>
          <w:rFonts w:hint="eastAsia" w:asciiTheme="minorEastAsia" w:hAnsiTheme="minorEastAsia" w:eastAsiaTheme="minorEastAsia" w:cstheme="minorEastAsia"/>
        </w:rPr>
        <w:t>取照射后的</w:t>
      </w:r>
      <w:r>
        <w:rPr>
          <w:rFonts w:hint="eastAsia" w:asciiTheme="minorEastAsia" w:hAnsiTheme="minorEastAsia" w:eastAsiaTheme="minorEastAsia" w:cstheme="minorEastAsia"/>
          <w:szCs w:val="22"/>
        </w:rPr>
        <w:t>静脉血0.3 m</w:t>
      </w:r>
      <w:r>
        <w:rPr>
          <w:rFonts w:hint="eastAsia" w:asciiTheme="minorEastAsia" w:hAnsiTheme="minorEastAsia" w:eastAsiaTheme="minorEastAsia" w:cstheme="minorEastAsia"/>
          <w:szCs w:val="22"/>
          <w:lang w:val="en-US" w:eastAsia="zh-CN"/>
        </w:rPr>
        <w:t>l</w:t>
      </w:r>
      <w:r>
        <w:rPr>
          <w:rFonts w:hint="eastAsia" w:asciiTheme="minorEastAsia" w:hAnsiTheme="minorEastAsia" w:eastAsiaTheme="minorEastAsia" w:cstheme="minorEastAsia"/>
          <w:szCs w:val="22"/>
        </w:rPr>
        <w:t>～0.5 m</w:t>
      </w:r>
      <w:r>
        <w:rPr>
          <w:rFonts w:hint="eastAsia" w:asciiTheme="minorEastAsia" w:hAnsiTheme="minorEastAsia" w:eastAsiaTheme="minorEastAsia" w:cstheme="minorEastAsia"/>
          <w:szCs w:val="22"/>
          <w:lang w:val="en-US" w:eastAsia="zh-CN"/>
        </w:rPr>
        <w:t>l</w:t>
      </w:r>
      <w:r>
        <w:rPr>
          <w:rFonts w:hint="eastAsia" w:asciiTheme="minorEastAsia" w:hAnsiTheme="minorEastAsia" w:eastAsiaTheme="minorEastAsia" w:cstheme="minorEastAsia"/>
          <w:szCs w:val="22"/>
        </w:rPr>
        <w:t>加入到5 mL含</w:t>
      </w:r>
      <w:r>
        <w:rPr>
          <w:rFonts w:hint="eastAsia" w:asciiTheme="minorEastAsia" w:hAnsiTheme="minorEastAsia" w:eastAsiaTheme="minorEastAsia" w:cstheme="minorEastAsia"/>
          <w:szCs w:val="22"/>
          <w:lang w:val="en-US" w:eastAsia="zh-CN"/>
        </w:rPr>
        <w:t>PHA</w:t>
      </w:r>
      <w:r>
        <w:rPr>
          <w:rFonts w:hint="eastAsia" w:asciiTheme="minorEastAsia" w:hAnsiTheme="minorEastAsia" w:eastAsiaTheme="minorEastAsia" w:cstheme="minorEastAsia"/>
          <w:szCs w:val="22"/>
        </w:rPr>
        <w:t>和10%～20%胎牛血清的RPMI-1640培养基中，培养开始加入终浓度为0.015μg/m</w:t>
      </w:r>
      <w:r>
        <w:rPr>
          <w:rFonts w:hint="eastAsia" w:asciiTheme="minorEastAsia" w:hAnsiTheme="minorEastAsia" w:eastAsiaTheme="minorEastAsia" w:cstheme="minorEastAsia"/>
          <w:szCs w:val="22"/>
          <w:lang w:val="en-US" w:eastAsia="zh-CN"/>
        </w:rPr>
        <w:t>l</w:t>
      </w:r>
      <w:r>
        <w:rPr>
          <w:rFonts w:hint="eastAsia" w:asciiTheme="minorEastAsia" w:hAnsiTheme="minorEastAsia" w:eastAsiaTheme="minorEastAsia" w:cstheme="minorEastAsia"/>
          <w:szCs w:val="22"/>
        </w:rPr>
        <w:t>～0.03μg/m</w:t>
      </w:r>
      <w:r>
        <w:rPr>
          <w:rFonts w:hint="eastAsia" w:asciiTheme="minorEastAsia" w:hAnsiTheme="minorEastAsia" w:eastAsiaTheme="minorEastAsia" w:cstheme="minorEastAsia"/>
          <w:szCs w:val="22"/>
          <w:lang w:val="en-US" w:eastAsia="zh-CN"/>
        </w:rPr>
        <w:t>l</w:t>
      </w:r>
      <w:r>
        <w:rPr>
          <w:rFonts w:hint="eastAsia" w:asciiTheme="minorEastAsia" w:hAnsiTheme="minorEastAsia" w:eastAsiaTheme="minorEastAsia" w:cstheme="minorEastAsia"/>
          <w:szCs w:val="22"/>
        </w:rPr>
        <w:t>秋水酰胺或秋水仙素，在培养容器上编号并注明培养开始时间和日期，轻轻摇匀，37 ℃±0.5 ℃恒温培养48 h</w:t>
      </w:r>
      <w:r>
        <w:rPr>
          <w:rFonts w:hint="eastAsia" w:asciiTheme="minorEastAsia" w:hAnsiTheme="minorEastAsia" w:eastAsiaTheme="minorEastAsia" w:cstheme="minorEastAsia"/>
          <w:szCs w:val="21"/>
        </w:rPr>
        <w:t>～52</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szCs w:val="21"/>
        </w:rPr>
        <w:t>h收获细胞。当</w:t>
      </w:r>
      <w:r>
        <w:rPr>
          <w:rFonts w:hint="eastAsia" w:asciiTheme="minorEastAsia" w:hAnsiTheme="minorEastAsia" w:eastAsiaTheme="minorEastAsia" w:cstheme="minorEastAsia"/>
          <w:szCs w:val="21"/>
          <w:lang w:val="en-US" w:eastAsia="zh-CN"/>
        </w:rPr>
        <w:t>预估</w:t>
      </w:r>
      <w:r>
        <w:rPr>
          <w:rFonts w:hint="eastAsia" w:asciiTheme="minorEastAsia" w:hAnsiTheme="minorEastAsia" w:eastAsiaTheme="minorEastAsia" w:cstheme="minorEastAsia"/>
          <w:szCs w:val="21"/>
        </w:rPr>
        <w:t>剂量</w:t>
      </w:r>
      <w:r>
        <w:rPr>
          <w:rFonts w:hint="eastAsia" w:asciiTheme="minorEastAsia" w:hAnsiTheme="minorEastAsia" w:eastAsiaTheme="minorEastAsia" w:cstheme="minorEastAsia"/>
          <w:szCs w:val="21"/>
          <w:lang w:val="en-US" w:eastAsia="zh-CN"/>
        </w:rPr>
        <w:t>可能超过</w:t>
      </w:r>
      <w:r>
        <w:rPr>
          <w:rFonts w:hint="eastAsia" w:asciiTheme="minorEastAsia" w:hAnsiTheme="minorEastAsia" w:eastAsiaTheme="minorEastAsia" w:cstheme="minorEastAsia"/>
          <w:szCs w:val="21"/>
        </w:rPr>
        <w:t>5</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szCs w:val="21"/>
        </w:rPr>
        <w:t>Gy时，可分批次培养，将培养时间延长至</w:t>
      </w:r>
      <w:r>
        <w:rPr>
          <w:rFonts w:hint="eastAsia" w:asciiTheme="minorEastAsia" w:hAnsiTheme="minorEastAsia" w:eastAsiaTheme="minorEastAsia" w:cstheme="minorEastAsia"/>
          <w:szCs w:val="22"/>
        </w:rPr>
        <w:t>56 h</w:t>
      </w:r>
      <w:r>
        <w:rPr>
          <w:rFonts w:hint="eastAsia" w:asciiTheme="minorEastAsia" w:hAnsiTheme="minorEastAsia" w:eastAsiaTheme="minorEastAsia" w:cstheme="minorEastAsia"/>
          <w:szCs w:val="21"/>
        </w:rPr>
        <w:t>～72 h</w:t>
      </w:r>
      <w:r>
        <w:rPr>
          <w:rFonts w:ascii="Times New Roman"/>
        </w:rPr>
        <w:t>，以克服因大剂量照射而诱发的细胞分裂周期阻滞，增加生物剂量估算的可供分析细胞数</w:t>
      </w:r>
      <w:r>
        <w:rPr>
          <w:rFonts w:hint="eastAsia" w:asciiTheme="minorEastAsia" w:hAnsiTheme="minorEastAsia" w:eastAsiaTheme="minorEastAsia" w:cstheme="minorEastAsia"/>
          <w:szCs w:val="21"/>
        </w:rPr>
        <w:t>。</w:t>
      </w:r>
    </w:p>
    <w:p w14:paraId="24A40EAF">
      <w:pPr>
        <w:pStyle w:val="40"/>
        <w:numPr>
          <w:ilvl w:val="1"/>
          <w:numId w:val="0"/>
        </w:numPr>
        <w:spacing w:before="240" w:after="240" w:line="360" w:lineRule="auto"/>
        <w:outlineLvl w:val="1"/>
      </w:pPr>
      <w:bookmarkStart w:id="62" w:name="_Toc28352"/>
      <w:bookmarkStart w:id="63" w:name="_Toc87788477"/>
      <w:bookmarkStart w:id="64" w:name="_Toc86162199"/>
      <w:bookmarkStart w:id="65" w:name="_Toc87375122"/>
      <w:bookmarkStart w:id="66" w:name="_Toc86162227"/>
      <w:bookmarkStart w:id="67" w:name="_Toc16259"/>
      <w:bookmarkStart w:id="68" w:name="_Toc718"/>
      <w:r>
        <w:rPr>
          <w:rFonts w:hint="eastAsia"/>
        </w:rPr>
        <w:t>4.4  染色体标本制备</w:t>
      </w:r>
      <w:bookmarkEnd w:id="62"/>
      <w:bookmarkEnd w:id="63"/>
      <w:bookmarkEnd w:id="64"/>
      <w:bookmarkEnd w:id="65"/>
      <w:bookmarkEnd w:id="66"/>
      <w:bookmarkEnd w:id="67"/>
      <w:bookmarkEnd w:id="68"/>
    </w:p>
    <w:p w14:paraId="38684C15">
      <w:pPr>
        <w:pStyle w:val="39"/>
        <w:numPr>
          <w:ilvl w:val="2"/>
          <w:numId w:val="0"/>
        </w:numPr>
        <w:spacing w:before="120" w:after="120" w:line="360" w:lineRule="auto"/>
        <w:outlineLvl w:val="9"/>
      </w:pPr>
      <w:bookmarkStart w:id="69" w:name="_Toc86162200"/>
      <w:bookmarkStart w:id="70" w:name="_Toc11799"/>
      <w:r>
        <w:rPr>
          <w:rFonts w:hint="eastAsia"/>
        </w:rPr>
        <w:t>4.4.1 人工制备</w:t>
      </w:r>
      <w:bookmarkEnd w:id="69"/>
      <w:bookmarkEnd w:id="70"/>
    </w:p>
    <w:p w14:paraId="67CA9B83">
      <w:pPr>
        <w:pStyle w:val="41"/>
        <w:numPr>
          <w:ilvl w:val="3"/>
          <w:numId w:val="0"/>
        </w:numPr>
        <w:spacing w:before="120" w:after="120" w:line="360" w:lineRule="auto"/>
        <w:outlineLvl w:val="9"/>
        <w:rPr>
          <w:rFonts w:asciiTheme="minorEastAsia" w:hAnsiTheme="minorEastAsia" w:eastAsiaTheme="minorEastAsia" w:cstheme="minorEastAsia"/>
        </w:rPr>
      </w:pPr>
      <w:r>
        <w:rPr>
          <w:rFonts w:hint="eastAsia" w:asciiTheme="majorEastAsia" w:hAnsiTheme="majorEastAsia" w:eastAsiaTheme="majorEastAsia" w:cstheme="majorEastAsia"/>
          <w:b/>
          <w:bCs/>
        </w:rPr>
        <w:t xml:space="preserve">4.4.1.1  </w:t>
      </w:r>
      <w:r>
        <w:rPr>
          <w:rFonts w:hint="eastAsia" w:asciiTheme="majorEastAsia" w:hAnsiTheme="majorEastAsia" w:eastAsiaTheme="majorEastAsia" w:cstheme="majorEastAsia"/>
        </w:rPr>
        <w:t>低渗。</w:t>
      </w:r>
      <w:r>
        <w:rPr>
          <w:rFonts w:hint="eastAsia" w:eastAsia="宋体"/>
        </w:rPr>
        <w:t>终止培养后用吸管轻轻抽去培养瓶中的上清液，每瓶加入</w:t>
      </w:r>
      <w:r>
        <w:rPr>
          <w:rFonts w:hint="eastAsia" w:asciiTheme="minorEastAsia" w:hAnsiTheme="minorEastAsia" w:eastAsiaTheme="minorEastAsia" w:cstheme="minorEastAsia"/>
        </w:rPr>
        <w:t>8 m</w:t>
      </w:r>
      <w:r>
        <w:rPr>
          <w:rFonts w:hint="eastAsia" w:asciiTheme="minorEastAsia" w:hAnsiTheme="minorEastAsia" w:eastAsiaTheme="minorEastAsia" w:cstheme="minorEastAsia"/>
          <w:lang w:val="en-US" w:eastAsia="zh-CN"/>
        </w:rPr>
        <w:t>l</w:t>
      </w:r>
      <w:r>
        <w:rPr>
          <w:rFonts w:hint="eastAsia" w:asciiTheme="minorEastAsia" w:hAnsiTheme="minorEastAsia" w:eastAsiaTheme="minorEastAsia" w:cstheme="minorEastAsia"/>
        </w:rPr>
        <w:t xml:space="preserve"> 37℃预温的0.075 mol/L KCl，将细胞团块充分吹打后移至10 m</w:t>
      </w:r>
      <w:r>
        <w:rPr>
          <w:rFonts w:hint="eastAsia" w:asciiTheme="minorEastAsia" w:hAnsiTheme="minorEastAsia" w:eastAsiaTheme="minorEastAsia" w:cstheme="minorEastAsia"/>
          <w:lang w:val="en-US" w:eastAsia="zh-CN"/>
        </w:rPr>
        <w:t>l</w:t>
      </w:r>
      <w:r>
        <w:rPr>
          <w:rFonts w:hint="eastAsia" w:asciiTheme="minorEastAsia" w:hAnsiTheme="minorEastAsia" w:eastAsiaTheme="minorEastAsia" w:cstheme="minorEastAsia"/>
        </w:rPr>
        <w:t>的尖底玻璃离心管中，放入37℃恒温水浴箱（锅）中低渗20min</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rPr>
        <w:t>30min。</w:t>
      </w:r>
    </w:p>
    <w:p w14:paraId="0769836B">
      <w:pPr>
        <w:pStyle w:val="41"/>
        <w:numPr>
          <w:ilvl w:val="3"/>
          <w:numId w:val="0"/>
        </w:numPr>
        <w:spacing w:before="120" w:after="120" w:line="360" w:lineRule="auto"/>
        <w:outlineLvl w:val="9"/>
        <w:rPr>
          <w:rFonts w:eastAsia="宋体"/>
        </w:rPr>
      </w:pPr>
      <w:r>
        <w:rPr>
          <w:rFonts w:hint="eastAsia" w:asciiTheme="majorEastAsia" w:hAnsiTheme="majorEastAsia" w:eastAsiaTheme="majorEastAsia" w:cstheme="majorEastAsia"/>
          <w:b/>
          <w:bCs/>
        </w:rPr>
        <w:t>4.4.1.</w:t>
      </w:r>
      <w:r>
        <w:rPr>
          <w:rFonts w:hint="eastAsia" w:eastAsia="宋体"/>
        </w:rPr>
        <w:t>2  预固定和固定。取出低渗完毕的</w:t>
      </w:r>
      <w:r>
        <w:rPr>
          <w:rFonts w:hint="eastAsia" w:asciiTheme="minorEastAsia" w:hAnsiTheme="minorEastAsia" w:eastAsiaTheme="minorEastAsia" w:cstheme="minorEastAsia"/>
        </w:rPr>
        <w:t>离心管，每管加入5～10滴新配制的固定液（甲醇：冰醋酸=3:1），用吸管吹打混匀，水平离心机中200 g～250 g离心8 min～10 min。取出离心管，用吸管吸去上清液，沿管壁每离心管中加入8 m</w:t>
      </w:r>
      <w:r>
        <w:rPr>
          <w:rFonts w:hint="eastAsia" w:asciiTheme="minorEastAsia" w:hAnsiTheme="minorEastAsia" w:eastAsiaTheme="minorEastAsia" w:cstheme="minorEastAsia"/>
          <w:lang w:val="en-US" w:eastAsia="zh-CN"/>
        </w:rPr>
        <w:t>l</w:t>
      </w:r>
      <w:r>
        <w:rPr>
          <w:rFonts w:hint="eastAsia" w:asciiTheme="minorEastAsia" w:hAnsiTheme="minorEastAsia" w:eastAsiaTheme="minorEastAsia" w:cstheme="minorEastAsia"/>
        </w:rPr>
        <w:t>固定液，用吸管快速吹打细胞团块，常温下固定20 min～30 min，在水平离心机中200 g～250 g离心8 min～10 min，再重复固定1次～2次。</w:t>
      </w:r>
    </w:p>
    <w:p w14:paraId="68F58CE6">
      <w:pPr>
        <w:pStyle w:val="41"/>
        <w:numPr>
          <w:ilvl w:val="3"/>
          <w:numId w:val="0"/>
        </w:numPr>
        <w:spacing w:before="120" w:after="120" w:line="360" w:lineRule="auto"/>
        <w:outlineLvl w:val="9"/>
      </w:pPr>
      <w:r>
        <w:rPr>
          <w:rFonts w:hint="eastAsia" w:asciiTheme="majorEastAsia" w:hAnsiTheme="majorEastAsia" w:eastAsiaTheme="majorEastAsia" w:cstheme="majorEastAsia"/>
          <w:b/>
          <w:bCs/>
        </w:rPr>
        <w:t>4.4.1.</w:t>
      </w:r>
      <w:r>
        <w:rPr>
          <w:rFonts w:hint="eastAsia" w:eastAsia="宋体"/>
        </w:rPr>
        <w:t xml:space="preserve">3 </w:t>
      </w:r>
      <w:r>
        <w:rPr>
          <w:rFonts w:hint="eastAsia" w:asciiTheme="minorEastAsia" w:hAnsiTheme="minorEastAsia" w:eastAsiaTheme="minorEastAsia" w:cstheme="minorEastAsia"/>
        </w:rPr>
        <w:t xml:space="preserve"> 制片。取出离心管，吸去上清液，根据细胞团块的大小每离心管中加入3滴～5滴固定液以调节细胞浓度。然后以一定高度（10 cm～30 cm）将细胞悬液滴在经37℃水浴预热或在4℃冰箱预冷的洁净载玻片上，自然空气干燥。每张玻片滴2滴～3滴。</w:t>
      </w:r>
    </w:p>
    <w:p w14:paraId="66FC91B1">
      <w:pPr>
        <w:pStyle w:val="41"/>
        <w:numPr>
          <w:ilvl w:val="3"/>
          <w:numId w:val="0"/>
        </w:numPr>
        <w:spacing w:before="120" w:after="120" w:line="360" w:lineRule="auto"/>
        <w:outlineLvl w:val="9"/>
      </w:pPr>
      <w:r>
        <w:rPr>
          <w:rFonts w:hint="eastAsia" w:asciiTheme="majorEastAsia" w:hAnsiTheme="majorEastAsia" w:eastAsiaTheme="majorEastAsia" w:cstheme="majorEastAsia"/>
          <w:b/>
          <w:bCs/>
        </w:rPr>
        <w:t>4.4.1.</w:t>
      </w:r>
      <w:r>
        <w:rPr>
          <w:rFonts w:hint="eastAsia" w:eastAsia="宋体"/>
        </w:rPr>
        <w:t>4</w:t>
      </w:r>
      <w:r>
        <w:rPr>
          <w:rFonts w:hint="eastAsia" w:asciiTheme="majorEastAsia" w:hAnsiTheme="majorEastAsia" w:eastAsiaTheme="majorEastAsia" w:cstheme="majorEastAsia"/>
        </w:rPr>
        <w:t xml:space="preserve">  编号。</w:t>
      </w:r>
      <w:r>
        <w:rPr>
          <w:rFonts w:hint="eastAsia" w:eastAsia="宋体"/>
        </w:rPr>
        <w:t>对每一张染色体标本片进行编号，并按照编号做好记录。</w:t>
      </w:r>
    </w:p>
    <w:p w14:paraId="77DDBDF9">
      <w:pPr>
        <w:pStyle w:val="41"/>
        <w:numPr>
          <w:ilvl w:val="3"/>
          <w:numId w:val="0"/>
        </w:numPr>
        <w:spacing w:before="120" w:after="120" w:line="360" w:lineRule="auto"/>
        <w:outlineLvl w:val="9"/>
        <w:rPr>
          <w:rFonts w:asciiTheme="minorEastAsia" w:hAnsiTheme="minorEastAsia" w:eastAsiaTheme="minorEastAsia" w:cstheme="minorEastAsia"/>
        </w:rPr>
      </w:pPr>
      <w:r>
        <w:rPr>
          <w:rFonts w:hint="eastAsia" w:asciiTheme="majorEastAsia" w:hAnsiTheme="majorEastAsia" w:eastAsiaTheme="majorEastAsia" w:cstheme="majorEastAsia"/>
          <w:b/>
          <w:bCs/>
        </w:rPr>
        <w:t>4.4.1.</w:t>
      </w:r>
      <w:r>
        <w:rPr>
          <w:rFonts w:hint="eastAsia" w:eastAsia="宋体"/>
        </w:rPr>
        <w:t xml:space="preserve">5  </w:t>
      </w:r>
      <w:r>
        <w:rPr>
          <w:rFonts w:hint="eastAsia" w:asciiTheme="majorEastAsia" w:hAnsiTheme="majorEastAsia" w:eastAsiaTheme="majorEastAsia" w:cstheme="majorEastAsia"/>
        </w:rPr>
        <w:t>染色</w:t>
      </w:r>
      <w:r>
        <w:rPr>
          <w:rFonts w:hint="eastAsia" w:eastAsia="宋体"/>
        </w:rPr>
        <w:t>。将用</w:t>
      </w:r>
      <w:r>
        <w:rPr>
          <w:rFonts w:hint="eastAsia" w:asciiTheme="minorEastAsia" w:hAnsiTheme="minorEastAsia" w:eastAsiaTheme="minorEastAsia" w:cstheme="minorEastAsia"/>
        </w:rPr>
        <w:t>pH 6.8的磷酸缓冲液配制的10%吉姆萨(Giemsa)染液均匀涂于染色体标本片上或置于染缸中，室温下染色8 min～10 min，以一定倾角（约45</w:t>
      </w:r>
      <w:r>
        <w:rPr>
          <w:rFonts w:hint="eastAsia" w:asciiTheme="minorEastAsia" w:hAnsiTheme="minorEastAsia" w:eastAsiaTheme="minorEastAsia" w:cstheme="minorEastAsia"/>
          <w:vertAlign w:val="superscript"/>
        </w:rPr>
        <w:t>。</w:t>
      </w:r>
      <w:r>
        <w:rPr>
          <w:rFonts w:hint="eastAsia" w:asciiTheme="minorEastAsia" w:hAnsiTheme="minorEastAsia" w:eastAsiaTheme="minorEastAsia" w:cstheme="minorEastAsia"/>
        </w:rPr>
        <w:t>）用自来水轻轻冲洗，洗掉染液后置于玻片架上室温下自然晾干。</w:t>
      </w:r>
    </w:p>
    <w:p w14:paraId="0106DE80">
      <w:pPr>
        <w:pStyle w:val="39"/>
        <w:numPr>
          <w:ilvl w:val="2"/>
          <w:numId w:val="0"/>
        </w:numPr>
        <w:spacing w:before="120" w:after="120" w:line="360" w:lineRule="auto"/>
        <w:outlineLvl w:val="9"/>
      </w:pPr>
      <w:bookmarkStart w:id="71" w:name="_Toc86162201"/>
      <w:bookmarkStart w:id="72" w:name="_Toc10717"/>
      <w:r>
        <w:rPr>
          <w:rFonts w:hint="eastAsia"/>
        </w:rPr>
        <w:t>4.4.2 自动制备</w:t>
      </w:r>
      <w:bookmarkEnd w:id="71"/>
      <w:bookmarkEnd w:id="72"/>
    </w:p>
    <w:p w14:paraId="4B8B338B">
      <w:pPr>
        <w:pStyle w:val="17"/>
        <w:tabs>
          <w:tab w:val="center" w:pos="4201"/>
          <w:tab w:val="right" w:leader="dot" w:pos="9298"/>
        </w:tabs>
        <w:spacing w:line="360" w:lineRule="auto"/>
        <w:ind w:firstLine="420"/>
      </w:pPr>
      <w:r>
        <w:rPr>
          <w:rFonts w:hint="eastAsia"/>
        </w:rPr>
        <w:t>按照</w:t>
      </w:r>
      <w:r>
        <w:rPr>
          <w:rFonts w:hint="eastAsia"/>
          <w:lang w:val="en-US" w:eastAsia="zh-CN"/>
        </w:rPr>
        <w:t>相应仪器设备</w:t>
      </w:r>
      <w:r>
        <w:rPr>
          <w:rFonts w:hint="eastAsia"/>
        </w:rPr>
        <w:t>的操作指南自动制备染色体标本。</w:t>
      </w:r>
    </w:p>
    <w:p w14:paraId="787E2870">
      <w:pPr>
        <w:pStyle w:val="40"/>
        <w:numPr>
          <w:ilvl w:val="1"/>
          <w:numId w:val="0"/>
        </w:numPr>
        <w:spacing w:before="240" w:after="240" w:line="360" w:lineRule="auto"/>
        <w:outlineLvl w:val="1"/>
      </w:pPr>
      <w:bookmarkStart w:id="73" w:name="_Toc76762518"/>
      <w:bookmarkStart w:id="74" w:name="_Toc76211771"/>
      <w:bookmarkStart w:id="75" w:name="_Toc77020192"/>
      <w:bookmarkStart w:id="76" w:name="_Toc77574348"/>
      <w:bookmarkStart w:id="77" w:name="_Toc15259"/>
      <w:bookmarkStart w:id="78" w:name="_Toc25306"/>
      <w:bookmarkStart w:id="79" w:name="_Toc4021"/>
      <w:bookmarkStart w:id="80" w:name="_Toc76210009"/>
      <w:bookmarkStart w:id="81" w:name="_Toc76241489"/>
      <w:bookmarkStart w:id="82" w:name="_Toc77020827"/>
      <w:bookmarkStart w:id="83" w:name="_Toc87788478"/>
      <w:bookmarkStart w:id="84" w:name="_Toc86162204"/>
      <w:bookmarkStart w:id="85" w:name="_Toc87375123"/>
      <w:bookmarkStart w:id="86" w:name="_Toc86162228"/>
      <w:bookmarkStart w:id="87" w:name="_Toc77574376"/>
      <w:r>
        <w:rPr>
          <w:rFonts w:hint="eastAsia"/>
        </w:rPr>
        <w:t>4.5  双着丝粒染色体半自动分析</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14:paraId="1CE952EE">
      <w:pPr>
        <w:pStyle w:val="38"/>
        <w:numPr>
          <w:ilvl w:val="2"/>
          <w:numId w:val="0"/>
        </w:numPr>
        <w:spacing w:line="360" w:lineRule="auto"/>
        <w:rPr>
          <w:rFonts w:ascii="Times New Roman"/>
          <w:szCs w:val="21"/>
        </w:rPr>
      </w:pPr>
      <w:r>
        <w:rPr>
          <w:rFonts w:hint="eastAsia" w:ascii="黑体" w:eastAsia="黑体"/>
        </w:rPr>
        <w:t>4.5.1</w:t>
      </w:r>
      <w:r>
        <w:rPr>
          <w:rFonts w:hint="eastAsia" w:ascii="Times New Roman"/>
          <w:szCs w:val="21"/>
        </w:rPr>
        <w:t xml:space="preserve"> </w:t>
      </w:r>
      <w:r>
        <w:rPr>
          <w:rFonts w:hint="eastAsia" w:ascii="黑体" w:eastAsia="黑体"/>
        </w:rPr>
        <w:t xml:space="preserve">分析方法 </w:t>
      </w:r>
    </w:p>
    <w:p w14:paraId="717ACE61">
      <w:pPr>
        <w:pStyle w:val="38"/>
        <w:numPr>
          <w:ilvl w:val="2"/>
          <w:numId w:val="0"/>
        </w:numPr>
        <w:spacing w:line="360" w:lineRule="auto"/>
        <w:ind w:left="142"/>
      </w:pPr>
      <w:r>
        <w:rPr>
          <w:rFonts w:hint="eastAsia" w:ascii="Times New Roman"/>
          <w:szCs w:val="21"/>
        </w:rPr>
        <w:t xml:space="preserve">    </w:t>
      </w:r>
      <w:r>
        <w:rPr>
          <w:rFonts w:ascii="Times New Roman"/>
          <w:szCs w:val="21"/>
        </w:rPr>
        <w:t>按照</w:t>
      </w:r>
      <w:r>
        <w:rPr>
          <w:rFonts w:ascii="Times New Roman"/>
          <w:bCs/>
          <w:szCs w:val="21"/>
        </w:rPr>
        <w:t>高通量</w:t>
      </w:r>
      <w:r>
        <w:rPr>
          <w:rFonts w:hint="eastAsia" w:asciiTheme="minorEastAsia" w:hAnsiTheme="minorEastAsia" w:eastAsiaTheme="minorEastAsia" w:cstheme="minorEastAsia"/>
          <w:bCs/>
          <w:szCs w:val="21"/>
        </w:rPr>
        <w:t>染色体自动扫描</w:t>
      </w:r>
      <w:r>
        <w:rPr>
          <w:rFonts w:hint="eastAsia" w:asciiTheme="minorEastAsia" w:hAnsiTheme="minorEastAsia" w:eastAsiaTheme="minorEastAsia" w:cstheme="minorEastAsia"/>
          <w:bCs/>
          <w:szCs w:val="21"/>
          <w:lang w:val="en-US" w:eastAsia="zh-CN"/>
        </w:rPr>
        <w:t>分析</w:t>
      </w:r>
      <w:r>
        <w:rPr>
          <w:rFonts w:hint="eastAsia" w:asciiTheme="minorEastAsia" w:hAnsiTheme="minorEastAsia" w:eastAsiaTheme="minorEastAsia" w:cstheme="minorEastAsia"/>
          <w:bCs/>
          <w:szCs w:val="21"/>
        </w:rPr>
        <w:t>系统</w:t>
      </w:r>
      <w:r>
        <w:rPr>
          <w:rFonts w:hint="eastAsia" w:asciiTheme="minorEastAsia" w:hAnsiTheme="minorEastAsia" w:eastAsiaTheme="minorEastAsia" w:cstheme="minorEastAsia"/>
          <w:szCs w:val="21"/>
        </w:rPr>
        <w:t>操作指南对制备出的染色体标本片进行全玻片自动</w:t>
      </w:r>
      <w:r>
        <w:rPr>
          <w:rFonts w:hint="eastAsia" w:asciiTheme="minorEastAsia" w:hAnsiTheme="minorEastAsia" w:eastAsiaTheme="minorEastAsia" w:cstheme="minorEastAsia"/>
          <w:szCs w:val="21"/>
          <w:lang w:val="en-US" w:eastAsia="zh-CN"/>
        </w:rPr>
        <w:t>扫描</w:t>
      </w:r>
      <w:r>
        <w:rPr>
          <w:rFonts w:hint="eastAsia" w:asciiTheme="minorEastAsia" w:hAnsiTheme="minorEastAsia" w:eastAsiaTheme="minorEastAsia" w:cstheme="minorEastAsia"/>
          <w:szCs w:val="21"/>
        </w:rPr>
        <w:t>寻找中期</w:t>
      </w:r>
      <w:r>
        <w:rPr>
          <w:rFonts w:hint="eastAsia" w:asciiTheme="minorEastAsia" w:hAnsiTheme="minorEastAsia" w:eastAsiaTheme="minorEastAsia" w:cstheme="minorEastAsia"/>
          <w:szCs w:val="21"/>
          <w:lang w:val="en-US" w:eastAsia="zh-CN"/>
        </w:rPr>
        <w:t>分裂</w:t>
      </w:r>
      <w:r>
        <w:rPr>
          <w:rFonts w:hint="eastAsia" w:asciiTheme="minorEastAsia" w:hAnsiTheme="minorEastAsia" w:eastAsiaTheme="minorEastAsia" w:cstheme="minorEastAsia"/>
          <w:szCs w:val="21"/>
        </w:rPr>
        <w:t>相及高倍图像采集，对采集到的高倍图像使用DCScore软件进行dic自动分析，对软件检测到的所有dic由人工根据经验确认，剔除假阳性dic后，再导出软件给出经过人工确认的dic数和分析细胞数</w:t>
      </w:r>
      <w:r>
        <w:rPr>
          <w:rFonts w:hint="eastAsia"/>
        </w:rPr>
        <w:t>。</w:t>
      </w:r>
    </w:p>
    <w:p w14:paraId="642F2E79">
      <w:pPr>
        <w:pStyle w:val="38"/>
        <w:numPr>
          <w:ilvl w:val="2"/>
          <w:numId w:val="0"/>
        </w:numPr>
        <w:spacing w:line="360" w:lineRule="auto"/>
        <w:rPr>
          <w:rFonts w:ascii="黑体" w:eastAsia="黑体"/>
        </w:rPr>
      </w:pPr>
      <w:r>
        <w:rPr>
          <w:rFonts w:hint="eastAsia" w:ascii="黑体" w:eastAsia="黑体"/>
        </w:rPr>
        <w:t>4.5.2 分析计数细胞数</w:t>
      </w:r>
    </w:p>
    <w:p w14:paraId="6EA0F3E4">
      <w:pPr>
        <w:pStyle w:val="38"/>
        <w:numPr>
          <w:ilvl w:val="2"/>
          <w:numId w:val="0"/>
        </w:numPr>
        <w:spacing w:line="360" w:lineRule="auto"/>
        <w:ind w:left="142"/>
        <w:rPr>
          <w:rFonts w:asciiTheme="minorEastAsia" w:hAnsiTheme="minorEastAsia" w:eastAsiaTheme="minorEastAsia" w:cstheme="minorEastAsia"/>
        </w:rPr>
      </w:pPr>
      <w:r>
        <w:rPr>
          <w:rFonts w:hint="eastAsia" w:ascii="黑体" w:eastAsia="黑体"/>
        </w:rPr>
        <w:t xml:space="preserve">   </w:t>
      </w:r>
      <w:r>
        <w:rPr>
          <w:rFonts w:hint="eastAsia" w:asciiTheme="minorEastAsia" w:hAnsiTheme="minorEastAsia" w:eastAsiaTheme="minorEastAsia" w:cstheme="minorEastAsia"/>
          <w:szCs w:val="21"/>
        </w:rPr>
        <w:t>每例样本应分析计数的细胞数</w:t>
      </w:r>
      <w:r>
        <w:rPr>
          <w:rFonts w:hint="eastAsia" w:asciiTheme="minorEastAsia" w:hAnsiTheme="minorEastAsia" w:eastAsiaTheme="minorEastAsia" w:cstheme="minorEastAsia"/>
          <w:i/>
          <w:iCs/>
          <w:szCs w:val="21"/>
        </w:rPr>
        <w:t>n</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i/>
          <w:iCs/>
          <w:szCs w:val="21"/>
        </w:rPr>
        <w:t>p</w:t>
      </w:r>
      <w:r>
        <w:rPr>
          <w:rFonts w:hint="eastAsia" w:asciiTheme="minorEastAsia" w:hAnsiTheme="minorEastAsia" w:eastAsiaTheme="minorEastAsia" w:cstheme="minorEastAsia"/>
          <w:szCs w:val="21"/>
        </w:rPr>
        <w:t>)×96.04/</w:t>
      </w:r>
      <w:r>
        <w:rPr>
          <w:rFonts w:hint="eastAsia" w:asciiTheme="minorEastAsia" w:hAnsiTheme="minorEastAsia" w:eastAsiaTheme="minorEastAsia" w:cstheme="minorEastAsia"/>
          <w:i/>
          <w:iCs/>
          <w:szCs w:val="21"/>
        </w:rPr>
        <w:t>p</w:t>
      </w:r>
      <w:r>
        <w:rPr>
          <w:rFonts w:hint="eastAsia" w:asciiTheme="minorEastAsia" w:hAnsiTheme="minorEastAsia" w:eastAsiaTheme="minorEastAsia" w:cstheme="minorEastAsia"/>
          <w:szCs w:val="21"/>
        </w:rPr>
        <w:t>，其中</w:t>
      </w:r>
      <w:r>
        <w:rPr>
          <w:rFonts w:hint="eastAsia" w:asciiTheme="minorEastAsia" w:hAnsiTheme="minorEastAsia" w:eastAsiaTheme="minorEastAsia" w:cstheme="minorEastAsia"/>
          <w:i/>
          <w:iCs/>
          <w:szCs w:val="21"/>
        </w:rPr>
        <w:t>p</w:t>
      </w:r>
      <w:r>
        <w:rPr>
          <w:rFonts w:hint="eastAsia" w:asciiTheme="minorEastAsia" w:hAnsiTheme="minorEastAsia" w:eastAsiaTheme="minorEastAsia" w:cstheme="minorEastAsia"/>
          <w:szCs w:val="21"/>
        </w:rPr>
        <w:t>为每细胞dic数</w:t>
      </w:r>
      <w:r>
        <w:rPr>
          <w:rFonts w:ascii="Times New Roman"/>
        </w:rPr>
        <w:t>，</w:t>
      </w:r>
      <w:r>
        <w:rPr>
          <w:rFonts w:ascii="Times New Roman"/>
          <w:i/>
          <w:iCs/>
        </w:rPr>
        <w:t>p</w:t>
      </w:r>
      <w:r>
        <w:rPr>
          <w:rFonts w:ascii="Times New Roman"/>
        </w:rPr>
        <w:t>可在计数分析一定数量的细胞后求得</w:t>
      </w:r>
      <w:r>
        <w:rPr>
          <w:rFonts w:hint="eastAsia" w:asciiTheme="minorEastAsia" w:hAnsiTheme="minorEastAsia" w:eastAsiaTheme="minorEastAsia" w:cstheme="minorEastAsia"/>
          <w:szCs w:val="21"/>
        </w:rPr>
        <w:t>。</w:t>
      </w:r>
    </w:p>
    <w:p w14:paraId="2CACCC67">
      <w:pPr>
        <w:pStyle w:val="40"/>
        <w:numPr>
          <w:ilvl w:val="1"/>
          <w:numId w:val="0"/>
        </w:numPr>
        <w:spacing w:before="240" w:after="240"/>
        <w:outlineLvl w:val="1"/>
      </w:pPr>
      <w:bookmarkStart w:id="88" w:name="_Toc77020193"/>
      <w:bookmarkStart w:id="89" w:name="_Toc77020828"/>
      <w:bookmarkStart w:id="90" w:name="_Toc86162205"/>
      <w:bookmarkStart w:id="91" w:name="_Toc77574349"/>
      <w:bookmarkStart w:id="92" w:name="_Toc26084"/>
      <w:bookmarkStart w:id="93" w:name="_Toc87788479"/>
      <w:bookmarkStart w:id="94" w:name="_Toc3882"/>
      <w:bookmarkStart w:id="95" w:name="_Toc76211772"/>
      <w:bookmarkStart w:id="96" w:name="_Toc76762519"/>
      <w:bookmarkStart w:id="97" w:name="_Toc24295"/>
      <w:bookmarkStart w:id="98" w:name="_Toc76241490"/>
      <w:bookmarkStart w:id="99" w:name="_Toc77574377"/>
      <w:bookmarkStart w:id="100" w:name="_Toc87375124"/>
      <w:bookmarkStart w:id="101" w:name="_Toc76210010"/>
      <w:bookmarkStart w:id="102" w:name="_Toc86162229"/>
      <w:r>
        <w:rPr>
          <w:rFonts w:hint="eastAsia"/>
        </w:rPr>
        <w:t xml:space="preserve">4.6  </w:t>
      </w:r>
      <w:r>
        <w:rPr>
          <w:rFonts w:hint="eastAsia"/>
          <w:lang w:val="en-US" w:eastAsia="zh-CN"/>
        </w:rPr>
        <w:t>拟合</w:t>
      </w:r>
      <w:r>
        <w:rPr>
          <w:rFonts w:hint="eastAsia"/>
        </w:rPr>
        <w:t>剂量-效应曲线</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14:paraId="016C7500">
      <w:pPr>
        <w:pStyle w:val="17"/>
        <w:tabs>
          <w:tab w:val="center" w:pos="4201"/>
          <w:tab w:val="right" w:leader="dot" w:pos="9298"/>
        </w:tabs>
        <w:ind w:firstLine="0" w:firstLineChars="0"/>
        <w:rPr>
          <w:rFonts w:ascii="黑体" w:hAnsi="黑体" w:eastAsia="黑体" w:cs="黑体"/>
        </w:rPr>
      </w:pPr>
      <w:r>
        <w:rPr>
          <w:rFonts w:hint="eastAsia" w:ascii="黑体" w:hAnsi="黑体" w:eastAsia="黑体" w:cs="黑体"/>
        </w:rPr>
        <w:t>4.6.1  人工拟合</w:t>
      </w:r>
    </w:p>
    <w:p w14:paraId="5F03CB3B">
      <w:pPr>
        <w:pStyle w:val="17"/>
        <w:tabs>
          <w:tab w:val="center" w:pos="4201"/>
          <w:tab w:val="right" w:leader="dot" w:pos="9298"/>
        </w:tabs>
        <w:spacing w:line="360" w:lineRule="auto"/>
        <w:ind w:firstLine="420" w:firstLineChars="0"/>
        <w:rPr>
          <w:rFonts w:ascii="Times New Roman"/>
        </w:rPr>
      </w:pPr>
      <w:r>
        <w:rPr>
          <w:rFonts w:hint="eastAsia" w:asciiTheme="minorEastAsia" w:hAnsiTheme="minorEastAsia" w:eastAsiaTheme="minorEastAsia" w:cstheme="minorEastAsia"/>
        </w:rPr>
        <w:t>对X或γ射线诱导的dic与受照射剂量之间的剂量-效应关系以拟合二次多项式为宜，</w:t>
      </w:r>
      <w:r>
        <w:rPr>
          <w:rFonts w:hint="eastAsia" w:asciiTheme="minorEastAsia" w:hAnsiTheme="minorEastAsia" w:eastAsiaTheme="minorEastAsia" w:cstheme="minorEastAsia"/>
          <w:i/>
          <w:iCs/>
        </w:rPr>
        <w:t>Y</w:t>
      </w:r>
      <w:r>
        <w:rPr>
          <w:rFonts w:hint="eastAsia" w:asciiTheme="minorEastAsia" w:hAnsiTheme="minorEastAsia" w:cstheme="minorEastAsia"/>
          <w:i/>
          <w:szCs w:val="21"/>
        </w:rPr>
        <w:t xml:space="preserve"> </w:t>
      </w:r>
      <w:r>
        <w:rPr>
          <w:rFonts w:hint="eastAsia" w:asciiTheme="minorEastAsia" w:hAnsiTheme="minorEastAsia" w:eastAsiaTheme="minorEastAsia" w:cstheme="minorEastAsia"/>
          <w:szCs w:val="21"/>
        </w:rPr>
        <w:t>=</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i/>
          <w:iCs/>
          <w:szCs w:val="21"/>
        </w:rPr>
        <w:t>C</w:t>
      </w:r>
      <w:r>
        <w:rPr>
          <w:rFonts w:hint="eastAsia" w:asciiTheme="minorEastAsia" w:hAnsiTheme="minorEastAsia" w:cstheme="minorEastAsia"/>
          <w:i/>
          <w:iCs/>
          <w:szCs w:val="21"/>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i/>
          <w:szCs w:val="21"/>
        </w:rPr>
        <w:t>α</w:t>
      </w:r>
      <w:r>
        <w:rPr>
          <w:rFonts w:hint="eastAsia" w:asciiTheme="minorEastAsia" w:hAnsiTheme="minorEastAsia" w:eastAsiaTheme="minorEastAsia" w:cstheme="minorEastAsia"/>
          <w:i/>
          <w:iCs/>
          <w:szCs w:val="21"/>
        </w:rPr>
        <w:t>D</w:t>
      </w:r>
      <w:r>
        <w:rPr>
          <w:rFonts w:hint="eastAsia" w:asciiTheme="minorEastAsia" w:hAnsiTheme="minorEastAsia" w:cstheme="minorEastAsia"/>
          <w:i/>
          <w:iCs/>
          <w:szCs w:val="21"/>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i/>
          <w:iCs/>
          <w:szCs w:val="21"/>
        </w:rPr>
        <w:t>βD</w:t>
      </w:r>
      <w:r>
        <w:rPr>
          <w:rFonts w:hint="eastAsia" w:asciiTheme="minorEastAsia" w:hAnsiTheme="minorEastAsia" w:cstheme="minorEastAsia"/>
          <w:i/>
          <w:iCs/>
          <w:szCs w:val="21"/>
        </w:rPr>
        <w:t xml:space="preserve"> </w:t>
      </w:r>
      <w:r>
        <w:rPr>
          <w:rFonts w:hint="eastAsia" w:asciiTheme="minorEastAsia" w:hAnsiTheme="minorEastAsia" w:eastAsiaTheme="minorEastAsia" w:cstheme="minorEastAsia"/>
          <w:iCs/>
          <w:szCs w:val="21"/>
          <w:vertAlign w:val="superscript"/>
        </w:rPr>
        <w:t>2</w:t>
      </w:r>
      <w:r>
        <w:rPr>
          <w:rFonts w:hint="eastAsia" w:asciiTheme="minorEastAsia" w:hAnsiTheme="minorEastAsia" w:eastAsiaTheme="minorEastAsia" w:cstheme="minorEastAsia"/>
        </w:rPr>
        <w:t>，其中</w:t>
      </w:r>
      <w:r>
        <w:rPr>
          <w:rFonts w:hint="eastAsia" w:asciiTheme="minorEastAsia" w:hAnsiTheme="minorEastAsia" w:eastAsiaTheme="minorEastAsia" w:cstheme="minorEastAsia"/>
          <w:i/>
          <w:iCs/>
        </w:rPr>
        <w:t>Y</w:t>
      </w:r>
      <w:r>
        <w:rPr>
          <w:rFonts w:hint="eastAsia" w:asciiTheme="minorEastAsia" w:hAnsiTheme="minorEastAsia" w:cstheme="minorEastAsia"/>
          <w:i/>
          <w:iCs/>
        </w:rPr>
        <w:t xml:space="preserve"> </w:t>
      </w:r>
      <w:r>
        <w:rPr>
          <w:rFonts w:hint="eastAsia" w:asciiTheme="minorEastAsia" w:hAnsiTheme="minorEastAsia" w:eastAsiaTheme="minorEastAsia" w:cstheme="minorEastAsia"/>
          <w:szCs w:val="21"/>
        </w:rPr>
        <w:t>为每细胞dic数，</w:t>
      </w:r>
      <w:r>
        <w:rPr>
          <w:rFonts w:hint="eastAsia" w:asciiTheme="minorEastAsia" w:hAnsiTheme="minorEastAsia" w:eastAsiaTheme="minorEastAsia" w:cstheme="minorEastAsia"/>
          <w:i/>
          <w:iCs/>
          <w:szCs w:val="21"/>
        </w:rPr>
        <w:t>D</w:t>
      </w:r>
      <w:r>
        <w:rPr>
          <w:rFonts w:hint="eastAsia" w:asciiTheme="minorEastAsia" w:hAnsiTheme="minorEastAsia" w:cstheme="minorEastAsia"/>
          <w:i/>
          <w:iCs/>
          <w:szCs w:val="21"/>
        </w:rPr>
        <w:t xml:space="preserve"> </w:t>
      </w:r>
      <w:r>
        <w:rPr>
          <w:rFonts w:hint="eastAsia" w:asciiTheme="minorEastAsia" w:hAnsiTheme="minorEastAsia" w:eastAsiaTheme="minorEastAsia" w:cstheme="minorEastAsia"/>
          <w:szCs w:val="21"/>
        </w:rPr>
        <w:t>为照射剂量（Gy），</w:t>
      </w:r>
      <w:r>
        <w:rPr>
          <w:rFonts w:hint="eastAsia" w:asciiTheme="minorEastAsia" w:hAnsiTheme="minorEastAsia" w:eastAsiaTheme="minorEastAsia" w:cstheme="minorEastAsia"/>
          <w:i/>
          <w:iCs/>
          <w:szCs w:val="21"/>
        </w:rPr>
        <w:t>C</w:t>
      </w:r>
      <w:r>
        <w:rPr>
          <w:rFonts w:hint="eastAsia" w:asciiTheme="minorEastAsia" w:hAnsiTheme="minorEastAsia" w:cstheme="minorEastAsia"/>
          <w:i/>
          <w:iCs/>
          <w:szCs w:val="21"/>
        </w:rPr>
        <w:t xml:space="preserve"> </w:t>
      </w:r>
      <w:r>
        <w:rPr>
          <w:rFonts w:hint="eastAsia" w:asciiTheme="minorEastAsia" w:hAnsiTheme="minorEastAsia" w:eastAsiaTheme="minorEastAsia" w:cstheme="minorEastAsia"/>
          <w:szCs w:val="21"/>
        </w:rPr>
        <w:t>为本底畸变率，</w:t>
      </w:r>
      <w:r>
        <w:rPr>
          <w:rFonts w:hint="eastAsia" w:asciiTheme="minorEastAsia" w:hAnsiTheme="minorEastAsia" w:eastAsiaTheme="minorEastAsia" w:cstheme="minorEastAsia"/>
          <w:i/>
          <w:iCs/>
          <w:szCs w:val="21"/>
        </w:rPr>
        <w:t>α</w:t>
      </w:r>
      <w:r>
        <w:rPr>
          <w:rFonts w:hint="eastAsia" w:asciiTheme="minorEastAsia" w:hAnsiTheme="minorEastAsia" w:eastAsiaTheme="minorEastAsia" w:cstheme="minorEastAsia"/>
          <w:szCs w:val="21"/>
        </w:rPr>
        <w:t>为线性系数，</w:t>
      </w:r>
      <w:r>
        <w:rPr>
          <w:rFonts w:hint="eastAsia" w:asciiTheme="minorEastAsia" w:hAnsiTheme="minorEastAsia" w:eastAsiaTheme="minorEastAsia" w:cstheme="minorEastAsia"/>
          <w:i/>
          <w:iCs/>
          <w:szCs w:val="21"/>
        </w:rPr>
        <w:t>β</w:t>
      </w:r>
      <w:r>
        <w:rPr>
          <w:rFonts w:hint="eastAsia" w:asciiTheme="minorEastAsia" w:hAnsiTheme="minorEastAsia" w:eastAsiaTheme="minorEastAsia" w:cstheme="minorEastAsia"/>
          <w:szCs w:val="21"/>
        </w:rPr>
        <w:t>为线性平方系数</w:t>
      </w:r>
      <w:r>
        <w:rPr>
          <w:rFonts w:hint="eastAsia" w:asciiTheme="minorEastAsia" w:hAnsiTheme="minorEastAsia" w:eastAsiaTheme="minorEastAsia" w:cstheme="minorEastAsia"/>
        </w:rPr>
        <w:t>。利用已知的</w:t>
      </w:r>
      <w:r>
        <w:rPr>
          <w:rFonts w:hint="eastAsia" w:asciiTheme="minorEastAsia" w:hAnsiTheme="minorEastAsia" w:eastAsiaTheme="minorEastAsia" w:cstheme="minorEastAsia"/>
          <w:i/>
          <w:iCs/>
        </w:rPr>
        <w:t>Y</w:t>
      </w:r>
      <w:r>
        <w:rPr>
          <w:rFonts w:hint="eastAsia" w:asciiTheme="minorEastAsia" w:hAnsiTheme="minorEastAsia" w:cstheme="minorEastAsia"/>
          <w:i/>
          <w:iCs/>
        </w:rPr>
        <w:t xml:space="preserve"> </w:t>
      </w:r>
      <w:r>
        <w:rPr>
          <w:rFonts w:hint="eastAsia" w:asciiTheme="minorEastAsia" w:hAnsiTheme="minorEastAsia" w:eastAsiaTheme="minorEastAsia" w:cstheme="minorEastAsia"/>
        </w:rPr>
        <w:t>和</w:t>
      </w:r>
      <w:r>
        <w:rPr>
          <w:rFonts w:hint="eastAsia" w:asciiTheme="minorEastAsia" w:hAnsiTheme="minorEastAsia" w:eastAsiaTheme="minorEastAsia" w:cstheme="minorEastAsia"/>
          <w:i/>
          <w:iCs/>
        </w:rPr>
        <w:t>D</w:t>
      </w:r>
      <w:r>
        <w:rPr>
          <w:rFonts w:hint="eastAsia" w:asciiTheme="minorEastAsia" w:hAnsiTheme="minorEastAsia" w:cstheme="minorEastAsia"/>
          <w:i/>
          <w:iCs/>
        </w:rPr>
        <w:t xml:space="preserve"> </w:t>
      </w:r>
      <w:r>
        <w:rPr>
          <w:rFonts w:hint="eastAsia" w:asciiTheme="minorEastAsia" w:hAnsiTheme="minorEastAsia" w:eastAsiaTheme="minorEastAsia" w:cstheme="minorEastAsia"/>
        </w:rPr>
        <w:t>值计算出公式中的各项回归系数，拟合出相应的回归方程式（剂量-效应曲线），同时计算出回归系数显著性检验的</w:t>
      </w:r>
      <w:r>
        <w:rPr>
          <w:rFonts w:hint="eastAsia" w:asciiTheme="minorEastAsia" w:hAnsiTheme="minorEastAsia" w:eastAsiaTheme="minorEastAsia" w:cstheme="minorEastAsia"/>
          <w:i/>
          <w:iCs/>
        </w:rPr>
        <w:t>P</w:t>
      </w:r>
      <w:r>
        <w:rPr>
          <w:rFonts w:hint="eastAsia" w:asciiTheme="minorEastAsia" w:hAnsiTheme="minorEastAsia" w:cstheme="minorEastAsia"/>
          <w:i/>
          <w:iCs/>
        </w:rPr>
        <w:t xml:space="preserve"> </w:t>
      </w:r>
      <w:r>
        <w:rPr>
          <w:rFonts w:hint="eastAsia" w:asciiTheme="minorEastAsia" w:hAnsiTheme="minorEastAsia" w:eastAsiaTheme="minorEastAsia" w:cstheme="minorEastAsia"/>
        </w:rPr>
        <w:t>值和检验拟合度的相关性系数</w:t>
      </w:r>
      <w:r>
        <w:rPr>
          <w:rFonts w:hint="eastAsia" w:asciiTheme="minorEastAsia" w:hAnsiTheme="minorEastAsia" w:cstheme="minorEastAsia"/>
        </w:rPr>
        <w:t xml:space="preserve"> </w:t>
      </w:r>
      <w:r>
        <w:rPr>
          <w:rFonts w:hint="eastAsia" w:asciiTheme="minorEastAsia" w:hAnsiTheme="minorEastAsia" w:eastAsiaTheme="minorEastAsia" w:cstheme="minorEastAsia"/>
          <w:i/>
          <w:iCs/>
        </w:rPr>
        <w:t>R</w:t>
      </w:r>
      <w:r>
        <w:rPr>
          <w:rFonts w:hint="eastAsia" w:asciiTheme="minorEastAsia" w:hAnsiTheme="minorEastAsia" w:cstheme="minorEastAsia"/>
          <w:i/>
          <w:iCs/>
        </w:rPr>
        <w:t xml:space="preserve"> </w:t>
      </w:r>
      <w:r>
        <w:rPr>
          <w:rFonts w:hint="eastAsia" w:asciiTheme="minorEastAsia" w:hAnsiTheme="minorEastAsia" w:eastAsiaTheme="minorEastAsia" w:cstheme="minorEastAsia"/>
          <w:vertAlign w:val="superscript"/>
        </w:rPr>
        <w:t>2</w:t>
      </w:r>
      <w:r>
        <w:rPr>
          <w:rFonts w:hint="eastAsia" w:asciiTheme="minorEastAsia" w:hAnsiTheme="minorEastAsia" w:cstheme="minorEastAsia"/>
          <w:vertAlign w:val="superscript"/>
        </w:rPr>
        <w:t xml:space="preserve"> </w:t>
      </w:r>
      <w:r>
        <w:rPr>
          <w:rFonts w:hint="eastAsia" w:asciiTheme="minorEastAsia" w:hAnsiTheme="minorEastAsia" w:eastAsiaTheme="minorEastAsia" w:cstheme="minorEastAsia"/>
        </w:rPr>
        <w:t>值。</w:t>
      </w:r>
      <w:r>
        <w:rPr>
          <w:rFonts w:hint="eastAsia" w:hAnsi="宋体"/>
          <w:szCs w:val="21"/>
        </w:rPr>
        <w:t>对于高LET射线（如中子）以拟合一次方程为宜，Y=C+αD。</w:t>
      </w:r>
    </w:p>
    <w:p w14:paraId="223FD8F1">
      <w:pPr>
        <w:pStyle w:val="17"/>
        <w:tabs>
          <w:tab w:val="center" w:pos="4201"/>
          <w:tab w:val="right" w:leader="dot" w:pos="9298"/>
        </w:tabs>
        <w:ind w:firstLine="0" w:firstLineChars="0"/>
        <w:rPr>
          <w:rFonts w:asciiTheme="majorEastAsia" w:hAnsiTheme="majorEastAsia" w:eastAsiaTheme="majorEastAsia" w:cstheme="majorEastAsia"/>
        </w:rPr>
      </w:pPr>
      <w:r>
        <w:rPr>
          <w:rFonts w:hint="eastAsia" w:ascii="黑体" w:hAnsi="黑体" w:eastAsia="黑体" w:cs="黑体"/>
        </w:rPr>
        <w:t>4.6.2  软件拟合</w:t>
      </w:r>
    </w:p>
    <w:p w14:paraId="1A9E85B9">
      <w:pPr>
        <w:spacing w:line="360" w:lineRule="auto"/>
        <w:ind w:firstLine="420"/>
        <w:rPr>
          <w:rFonts w:asciiTheme="minorEastAsia" w:hAnsiTheme="minorEastAsia" w:cstheme="minorEastAsia"/>
          <w:szCs w:val="21"/>
        </w:rPr>
      </w:pPr>
      <w:r>
        <w:rPr>
          <w:rFonts w:hint="eastAsia" w:asciiTheme="minorEastAsia" w:hAnsiTheme="minorEastAsia" w:cstheme="minorEastAsia"/>
          <w:szCs w:val="21"/>
        </w:rPr>
        <w:t>按照</w:t>
      </w:r>
      <w:r>
        <w:rPr>
          <w:rFonts w:hint="eastAsia" w:asciiTheme="minorEastAsia" w:hAnsiTheme="minorEastAsia" w:cstheme="minorEastAsia"/>
          <w:szCs w:val="21"/>
          <w:lang w:val="en-US" w:eastAsia="zh-CN"/>
        </w:rPr>
        <w:t>国际原子能机构（IAEA）推荐的</w:t>
      </w:r>
      <w:r>
        <w:rPr>
          <w:rFonts w:hint="eastAsia" w:asciiTheme="minorEastAsia" w:hAnsiTheme="minorEastAsia" w:cstheme="minorEastAsia"/>
          <w:szCs w:val="21"/>
        </w:rPr>
        <w:t>免费专业剂量-曲线刻度与剂量估算软件CABAS说明，将自动分析得到的每细胞dic数和对应的照射剂量，分别输入至该软件，拟合出相应的剂量-效应曲线，其公式为</w:t>
      </w:r>
      <w:r>
        <w:rPr>
          <w:rFonts w:hint="eastAsia" w:asciiTheme="minorEastAsia" w:hAnsiTheme="minorEastAsia" w:cstheme="minorEastAsia"/>
          <w:i/>
          <w:iCs/>
        </w:rPr>
        <w:t xml:space="preserve">Y </w:t>
      </w:r>
      <w:r>
        <w:rPr>
          <w:rFonts w:hint="eastAsia" w:asciiTheme="minorEastAsia" w:hAnsiTheme="minorEastAsia" w:cstheme="minorEastAsia"/>
          <w:szCs w:val="21"/>
        </w:rPr>
        <w:t>=</w:t>
      </w:r>
      <w:r>
        <w:rPr>
          <w:rFonts w:hint="eastAsia" w:asciiTheme="minorEastAsia" w:hAnsiTheme="minorEastAsia" w:cstheme="minorEastAsia"/>
          <w:i/>
          <w:iCs/>
          <w:szCs w:val="21"/>
        </w:rPr>
        <w:t xml:space="preserve">C </w:t>
      </w:r>
      <w:r>
        <w:rPr>
          <w:rFonts w:hint="eastAsia" w:asciiTheme="minorEastAsia" w:hAnsiTheme="minorEastAsia" w:cstheme="minorEastAsia"/>
          <w:szCs w:val="21"/>
        </w:rPr>
        <w:t>+</w:t>
      </w:r>
      <w:r>
        <w:rPr>
          <w:rFonts w:hint="eastAsia" w:asciiTheme="minorEastAsia" w:hAnsiTheme="minorEastAsia" w:cstheme="minorEastAsia"/>
          <w:i/>
          <w:szCs w:val="21"/>
        </w:rPr>
        <w:t>α</w:t>
      </w:r>
      <w:r>
        <w:rPr>
          <w:rFonts w:hint="eastAsia" w:asciiTheme="minorEastAsia" w:hAnsiTheme="minorEastAsia" w:cstheme="minorEastAsia"/>
          <w:i/>
          <w:iCs/>
          <w:szCs w:val="21"/>
        </w:rPr>
        <w:t xml:space="preserve">D </w:t>
      </w:r>
      <w:r>
        <w:rPr>
          <w:rFonts w:hint="eastAsia" w:asciiTheme="minorEastAsia" w:hAnsiTheme="minorEastAsia" w:cstheme="minorEastAsia"/>
          <w:szCs w:val="21"/>
        </w:rPr>
        <w:t>+</w:t>
      </w:r>
      <w:r>
        <w:rPr>
          <w:rFonts w:hint="eastAsia" w:asciiTheme="minorEastAsia" w:hAnsiTheme="minorEastAsia" w:cstheme="minorEastAsia"/>
          <w:i/>
          <w:iCs/>
          <w:szCs w:val="21"/>
        </w:rPr>
        <w:t xml:space="preserve">βD </w:t>
      </w:r>
      <w:r>
        <w:rPr>
          <w:rFonts w:hint="eastAsia" w:asciiTheme="minorEastAsia" w:hAnsiTheme="minorEastAsia" w:cstheme="minorEastAsia"/>
          <w:iCs/>
          <w:szCs w:val="21"/>
          <w:vertAlign w:val="superscript"/>
        </w:rPr>
        <w:t>2</w:t>
      </w:r>
      <w:r>
        <w:rPr>
          <w:rFonts w:hint="eastAsia" w:asciiTheme="minorEastAsia" w:hAnsiTheme="minorEastAsia" w:cstheme="minorEastAsia"/>
          <w:szCs w:val="21"/>
        </w:rPr>
        <w:t>，</w:t>
      </w:r>
      <w:r>
        <w:rPr>
          <w:rFonts w:hint="eastAsia" w:asciiTheme="minorEastAsia" w:hAnsiTheme="minorEastAsia" w:cstheme="minorEastAsia"/>
        </w:rPr>
        <w:t>软件还给出了回归系数显著性检验的</w:t>
      </w:r>
      <w:r>
        <w:rPr>
          <w:rFonts w:hint="eastAsia" w:asciiTheme="minorEastAsia" w:hAnsiTheme="minorEastAsia" w:cstheme="minorEastAsia"/>
          <w:i/>
          <w:iCs/>
        </w:rPr>
        <w:t>P</w:t>
      </w:r>
      <w:r>
        <w:rPr>
          <w:rFonts w:hint="eastAsia" w:asciiTheme="minorEastAsia" w:hAnsiTheme="minorEastAsia" w:cstheme="minorEastAsia"/>
        </w:rPr>
        <w:t>值和检验拟合度的相关性系数</w:t>
      </w:r>
      <w:r>
        <w:rPr>
          <w:rFonts w:hint="eastAsia" w:asciiTheme="minorEastAsia" w:hAnsiTheme="minorEastAsia" w:cstheme="minorEastAsia"/>
          <w:i/>
          <w:iCs/>
        </w:rPr>
        <w:t xml:space="preserve">R </w:t>
      </w:r>
      <w:r>
        <w:rPr>
          <w:rFonts w:hint="eastAsia" w:asciiTheme="minorEastAsia" w:hAnsiTheme="minorEastAsia" w:cstheme="minorEastAsia"/>
          <w:vertAlign w:val="superscript"/>
        </w:rPr>
        <w:t>2</w:t>
      </w:r>
      <w:r>
        <w:rPr>
          <w:rFonts w:hint="eastAsia" w:asciiTheme="minorEastAsia" w:hAnsiTheme="minorEastAsia" w:cstheme="minorEastAsia"/>
        </w:rPr>
        <w:t>值</w:t>
      </w:r>
      <w:r>
        <w:rPr>
          <w:rFonts w:hint="eastAsia" w:asciiTheme="minorEastAsia" w:hAnsiTheme="minorEastAsia" w:cstheme="minorEastAsia"/>
          <w:szCs w:val="21"/>
        </w:rPr>
        <w:t>。</w:t>
      </w:r>
    </w:p>
    <w:p w14:paraId="19354FAC">
      <w:pPr>
        <w:pStyle w:val="40"/>
        <w:numPr>
          <w:ilvl w:val="1"/>
          <w:numId w:val="0"/>
        </w:numPr>
        <w:spacing w:before="240" w:after="240"/>
        <w:outlineLvl w:val="1"/>
        <w:rPr>
          <w:rFonts w:hint="eastAsia" w:eastAsia="黑体"/>
          <w:lang w:val="en-US" w:eastAsia="zh-CN"/>
        </w:rPr>
      </w:pPr>
      <w:bookmarkStart w:id="103" w:name="_Toc76241492"/>
      <w:bookmarkStart w:id="104" w:name="_Toc77574379"/>
      <w:bookmarkStart w:id="105" w:name="_Toc77020830"/>
      <w:bookmarkStart w:id="106" w:name="_Toc76762521"/>
      <w:bookmarkStart w:id="107" w:name="_Toc86162210"/>
      <w:bookmarkStart w:id="108" w:name="_Toc87375126"/>
      <w:bookmarkStart w:id="109" w:name="_Toc76210012"/>
      <w:bookmarkStart w:id="110" w:name="_Toc87788481"/>
      <w:bookmarkStart w:id="111" w:name="_Toc732"/>
      <w:bookmarkStart w:id="112" w:name="_Toc76211774"/>
      <w:bookmarkStart w:id="113" w:name="_Toc77020195"/>
      <w:bookmarkStart w:id="114" w:name="_Toc77574351"/>
      <w:bookmarkStart w:id="115" w:name="_Toc86162231"/>
      <w:bookmarkStart w:id="116" w:name="_Toc31221"/>
      <w:bookmarkStart w:id="117" w:name="_Toc31517"/>
      <w:r>
        <w:rPr>
          <w:rFonts w:hint="eastAsia"/>
        </w:rPr>
        <w:t>4.7  估算</w:t>
      </w:r>
      <w:bookmarkEnd w:id="103"/>
      <w:bookmarkEnd w:id="104"/>
      <w:bookmarkEnd w:id="105"/>
      <w:bookmarkEnd w:id="106"/>
      <w:bookmarkEnd w:id="107"/>
      <w:bookmarkEnd w:id="108"/>
      <w:bookmarkEnd w:id="109"/>
      <w:bookmarkEnd w:id="110"/>
      <w:bookmarkEnd w:id="111"/>
      <w:bookmarkEnd w:id="112"/>
      <w:bookmarkEnd w:id="113"/>
      <w:bookmarkEnd w:id="114"/>
      <w:bookmarkEnd w:id="115"/>
      <w:r>
        <w:rPr>
          <w:rFonts w:hint="eastAsia"/>
          <w:lang w:val="en-US" w:eastAsia="zh-CN"/>
        </w:rPr>
        <w:t>剂量</w:t>
      </w:r>
      <w:bookmarkEnd w:id="116"/>
      <w:bookmarkEnd w:id="117"/>
    </w:p>
    <w:p w14:paraId="2E3C7B48">
      <w:pPr>
        <w:pStyle w:val="39"/>
        <w:numPr>
          <w:ilvl w:val="2"/>
          <w:numId w:val="0"/>
        </w:numPr>
        <w:spacing w:before="120" w:after="120"/>
        <w:outlineLvl w:val="9"/>
      </w:pPr>
      <w:bookmarkStart w:id="118" w:name="_Toc86162211"/>
      <w:bookmarkStart w:id="119" w:name="_Toc12452"/>
      <w:r>
        <w:rPr>
          <w:rFonts w:hint="eastAsia"/>
        </w:rPr>
        <w:t>4.7.1 每细胞dic数和95%可信区间的计算</w:t>
      </w:r>
      <w:bookmarkEnd w:id="118"/>
      <w:bookmarkEnd w:id="119"/>
    </w:p>
    <w:p w14:paraId="6AFC2161">
      <w:pPr>
        <w:pStyle w:val="17"/>
        <w:tabs>
          <w:tab w:val="center" w:pos="4201"/>
          <w:tab w:val="right" w:leader="dot" w:pos="9298"/>
        </w:tabs>
        <w:ind w:firstLine="420"/>
      </w:pPr>
      <w:r>
        <w:rPr>
          <w:rFonts w:hint="eastAsia"/>
        </w:rPr>
        <w:t>dic</w:t>
      </w:r>
      <w:r>
        <w:t>符合泊松分布，</w:t>
      </w:r>
      <w:r>
        <w:rPr>
          <w:rFonts w:hint="eastAsia"/>
        </w:rPr>
        <w:t>每细胞dic数、每细胞dic数的标准误和每细胞dic数的95%可信区间分别按照式（1）、（2）和（3）计算:</w:t>
      </w:r>
    </w:p>
    <w:p w14:paraId="13710EA5">
      <w:pPr>
        <w:jc w:val="right"/>
        <w:rPr>
          <w:rFonts w:hint="default" w:ascii="Times New Roman" w:hAnsi="Times New Roman" w:cs="Times New Roman"/>
        </w:rPr>
      </w:pPr>
      <w:r>
        <w:rPr>
          <w:rFonts w:hint="default" w:ascii="Times New Roman" w:hAnsi="Times New Roman" w:cs="Times New Roman"/>
          <w:i/>
          <w:lang w:val="da-DK"/>
        </w:rPr>
        <w:t xml:space="preserve"> p </w:t>
      </w:r>
      <w:r>
        <w:rPr>
          <w:rFonts w:hint="default" w:ascii="Times New Roman" w:hAnsi="Times New Roman" w:cs="Times New Roman"/>
          <w:lang w:val="da-DK"/>
        </w:rPr>
        <w:t>=</w:t>
      </w:r>
      <w:r>
        <w:rPr>
          <w:rFonts w:ascii="Times New Roman" w:hAnsi="Times New Roman" w:cs="Times New Roman"/>
          <w:lang w:val="da-DK"/>
        </w:rPr>
        <w:t xml:space="preserve"> </w:t>
      </w:r>
      <w:r>
        <w:rPr>
          <w:rFonts w:ascii="Times New Roman" w:hAnsi="Times New Roman" w:cs="Times New Roman"/>
          <w:position w:val="-24"/>
        </w:rPr>
        <w:object>
          <v:shape id="_x0000_i1025" o:spt="75" type="#_x0000_t75" style="height:31pt;width:12pt;" o:ole="t" filled="f" stroked="f" coordsize="21600,21600">
            <v:path/>
            <v:fill on="f" focussize="0,0"/>
            <v:stroke on="f"/>
            <v:imagedata r:id="rId9" o:title=""/>
            <o:lock v:ext="edit" aspectratio="t"/>
            <w10:wrap type="none"/>
            <w10:anchorlock/>
          </v:shape>
          <o:OLEObject Type="Embed" ProgID="Equation.DSMT4" ShapeID="_x0000_i1025" DrawAspect="Content" ObjectID="_1468075725" r:id="rId8">
            <o:LockedField>false</o:LockedField>
          </o:OLEObject>
        </w:object>
      </w:r>
      <w:r>
        <w:rPr>
          <w:rFonts w:ascii="Times New Roman" w:hAnsi="Times New Roman" w:cs="Times New Roman"/>
        </w:rPr>
        <w:fldChar w:fldCharType="begin"/>
      </w:r>
      <w:r>
        <w:rPr>
          <w:rFonts w:ascii="Times New Roman" w:hAnsi="Times New Roman" w:cs="Times New Roman"/>
        </w:rPr>
        <w:instrText xml:space="preserve"> QUOTE </w:instrText>
      </w:r>
      <w:r>
        <w:rPr>
          <w:rFonts w:hint="default" w:ascii="Times New Roman" w:hAnsi="Times New Roman" w:cs="Times New Roman"/>
          <w:position w:val="-26"/>
        </w:rPr>
        <w:drawing>
          <wp:inline distT="0" distB="0" distL="114300" distR="114300">
            <wp:extent cx="314325" cy="400050"/>
            <wp:effectExtent l="0" t="0" r="5715" b="1143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0"/>
                    <a:stretch>
                      <a:fillRect/>
                    </a:stretch>
                  </pic:blipFill>
                  <pic:spPr>
                    <a:xfrm>
                      <a:off x="0" y="0"/>
                      <a:ext cx="314325" cy="400050"/>
                    </a:xfrm>
                    <a:prstGeom prst="rect">
                      <a:avLst/>
                    </a:prstGeom>
                    <a:noFill/>
                    <a:ln w="9525">
                      <a:noFill/>
                    </a:ln>
                  </pic:spPr>
                </pic:pic>
              </a:graphicData>
            </a:graphic>
          </wp:inline>
        </w:drawing>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end"/>
      </w:r>
      <w:r>
        <w:rPr>
          <w:rFonts w:hint="default" w:ascii="Times New Roman" w:hAnsi="Times New Roman" w:cs="Times New Roman"/>
        </w:rPr>
        <w:t>…………………………………………………（1）</w:t>
      </w:r>
    </w:p>
    <w:p w14:paraId="3741EBC3">
      <w:pPr>
        <w:jc w:val="right"/>
        <w:rPr>
          <w:rFonts w:hint="default" w:ascii="Times New Roman" w:hAnsi="Times New Roman" w:cs="Times New Roman"/>
        </w:rPr>
      </w:pPr>
      <w:r>
        <w:rPr>
          <w:rFonts w:ascii="Times New Roman" w:hAnsi="Times New Roman" w:cs="Times New Roman" w:eastAsiaTheme="minorEastAsia"/>
          <w:i/>
          <w:iCs/>
          <w:kern w:val="2"/>
          <w:sz w:val="21"/>
          <w:szCs w:val="22"/>
          <w:vertAlign w:val="subscript"/>
          <w:lang w:val="en-US" w:eastAsia="zh-CN" w:bidi="ar-SA"/>
        </w:rPr>
        <w:br w:type="textWrapping"/>
      </w:r>
      <w:r>
        <w:rPr>
          <w:rFonts w:hint="default" w:ascii="Times New Roman" w:hAnsi="Times New Roman" w:cs="Times New Roman"/>
          <w:i/>
        </w:rPr>
        <w:t>S</w:t>
      </w:r>
      <w:r>
        <w:rPr>
          <w:rFonts w:hint="default" w:ascii="Times New Roman" w:hAnsi="Times New Roman" w:cs="Times New Roman"/>
          <w:i/>
          <w:vertAlign w:val="subscript"/>
        </w:rPr>
        <w:t>p</w:t>
      </w:r>
      <w:r>
        <w:rPr>
          <w:rFonts w:hint="default" w:ascii="Times New Roman" w:hAnsi="Times New Roman" w:cs="Times New Roman"/>
          <w:i/>
        </w:rPr>
        <w:t xml:space="preserve"> </w:t>
      </w:r>
      <w:r>
        <w:rPr>
          <w:rFonts w:hint="default" w:ascii="Times New Roman" w:hAnsi="Times New Roman" w:cs="Times New Roman"/>
        </w:rPr>
        <w:t>=</w:t>
      </w:r>
      <w:r>
        <w:rPr>
          <w:rFonts w:ascii="Times New Roman" w:hAnsi="Times New Roman" w:cs="Times New Roman"/>
          <w:position w:val="-24"/>
        </w:rPr>
        <w:object>
          <v:shape id="_x0000_i1026" o:spt="75" type="#_x0000_t75" style="height:34pt;width:21pt;" o:ole="t" filled="f" stroked="f" coordsize="21600,21600">
            <v:path/>
            <v:fill on="f" focussize="0,0"/>
            <v:stroke on="f"/>
            <v:imagedata r:id="rId12" o:title=""/>
            <o:lock v:ext="edit" aspectratio="t"/>
            <w10:wrap type="none"/>
            <w10:anchorlock/>
          </v:shape>
          <o:OLEObject Type="Embed" ProgID="Equation.DSMT4" ShapeID="_x0000_i1026" DrawAspect="Content" ObjectID="_1468075726" r:id="rId11">
            <o:LockedField>false</o:LockedField>
          </o:OLEObject>
        </w:object>
      </w:r>
      <w:r>
        <w:rPr>
          <w:rFonts w:hint="default"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QUOTE </w:instrText>
      </w:r>
      <w:r>
        <w:rPr>
          <w:rFonts w:hint="default" w:ascii="Times New Roman" w:hAnsi="Times New Roman" w:cs="Times New Roman"/>
          <w:position w:val="-23"/>
        </w:rPr>
        <w:drawing>
          <wp:inline distT="0" distB="0" distL="114300" distR="114300">
            <wp:extent cx="428625" cy="400050"/>
            <wp:effectExtent l="0" t="0" r="13335" b="1143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13"/>
                    <a:stretch>
                      <a:fillRect/>
                    </a:stretch>
                  </pic:blipFill>
                  <pic:spPr>
                    <a:xfrm>
                      <a:off x="0" y="0"/>
                      <a:ext cx="428625" cy="400050"/>
                    </a:xfrm>
                    <a:prstGeom prst="rect">
                      <a:avLst/>
                    </a:prstGeom>
                    <a:noFill/>
                    <a:ln w="9525">
                      <a:noFill/>
                    </a:ln>
                  </pic:spPr>
                </pic:pic>
              </a:graphicData>
            </a:graphic>
          </wp:inline>
        </w:drawing>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end"/>
      </w:r>
      <w:r>
        <w:rPr>
          <w:rFonts w:hint="default" w:ascii="Times New Roman" w:hAnsi="Times New Roman" w:cs="Times New Roman"/>
        </w:rPr>
        <w:t>………………………………………………（2）</w:t>
      </w:r>
    </w:p>
    <w:p w14:paraId="1EE35D85">
      <w:pPr>
        <w:jc w:val="right"/>
        <w:rPr>
          <w:rFonts w:hint="default" w:ascii="Times New Roman" w:hAnsi="Times New Roman" w:cs="Times New Roman"/>
        </w:rPr>
      </w:pPr>
    </w:p>
    <w:p w14:paraId="079CE3FA">
      <w:pPr>
        <w:jc w:val="right"/>
        <w:rPr>
          <w:rFonts w:ascii="Times New Roman" w:hAnsi="Times New Roman" w:cs="Times New Roman"/>
        </w:rPr>
      </w:pPr>
      <w:r>
        <w:rPr>
          <w:rFonts w:hint="default" w:ascii="Times New Roman" w:hAnsi="Times New Roman" w:cs="Times New Roman"/>
        </w:rPr>
        <w:t>95%</w:t>
      </w:r>
      <w:r>
        <w:rPr>
          <w:rFonts w:hint="default" w:ascii="Times New Roman" w:hAnsi="Times New Roman" w:cs="Times New Roman"/>
          <w:i/>
          <w:iCs/>
        </w:rPr>
        <w:t xml:space="preserve">CI </w:t>
      </w:r>
      <w:r>
        <w:rPr>
          <w:rFonts w:hint="default" w:ascii="Times New Roman" w:hAnsi="Times New Roman" w:cs="Times New Roman"/>
          <w:lang w:val="da-DK"/>
        </w:rPr>
        <w:t xml:space="preserve">= </w:t>
      </w:r>
      <w:r>
        <w:rPr>
          <w:rFonts w:ascii="Times New Roman" w:hAnsi="Times New Roman" w:cs="Times New Roman"/>
          <w:i/>
        </w:rPr>
        <w:t>p</w:t>
      </w:r>
      <w:r>
        <w:rPr>
          <w:rFonts w:hint="default" w:ascii="Times New Roman" w:hAnsi="Times New Roman" w:cs="Times New Roman"/>
          <w:i/>
        </w:rPr>
        <w:t xml:space="preserve"> </w:t>
      </w:r>
      <w:r>
        <w:rPr>
          <w:rFonts w:hint="default" w:ascii="Times New Roman" w:hAnsi="Times New Roman" w:cs="Times New Roman"/>
        </w:rPr>
        <w:sym w:font="Symbol" w:char="F0B1"/>
      </w:r>
      <w:r>
        <w:rPr>
          <w:rFonts w:hint="default" w:ascii="Times New Roman" w:hAnsi="Times New Roman" w:cs="Times New Roman"/>
        </w:rPr>
        <w:t xml:space="preserve"> 1.96</w:t>
      </w:r>
      <w:r>
        <w:rPr>
          <w:rFonts w:hint="default" w:ascii="Times New Roman" w:hAnsi="Times New Roman" w:cs="Times New Roman"/>
          <w:i/>
        </w:rPr>
        <w:t>S</w:t>
      </w:r>
      <w:r>
        <w:rPr>
          <w:rFonts w:hint="default" w:ascii="Times New Roman" w:hAnsi="Times New Roman" w:cs="Times New Roman"/>
          <w:i/>
          <w:vertAlign w:val="subscript"/>
        </w:rPr>
        <w:t>p</w:t>
      </w:r>
      <w:r>
        <w:rPr>
          <w:rFonts w:hint="default" w:ascii="Times New Roman" w:hAnsi="Times New Roman" w:cs="Times New Roman"/>
          <w:i/>
        </w:rPr>
        <w:t xml:space="preserve"> </w:t>
      </w:r>
      <w:r>
        <w:rPr>
          <w:rFonts w:ascii="Times New Roman" w:hAnsi="Times New Roman" w:cs="Times New Roman"/>
        </w:rPr>
        <w:fldChar w:fldCharType="begin"/>
      </w:r>
      <w:r>
        <w:rPr>
          <w:rFonts w:ascii="Times New Roman" w:hAnsi="Times New Roman" w:cs="Times New Roman"/>
        </w:rPr>
        <w:instrText xml:space="preserve"> QUOTE </w:instrText>
      </w:r>
      <w:r>
        <w:rPr>
          <w:rFonts w:hint="default" w:ascii="Times New Roman" w:hAnsi="Times New Roman" w:cs="Times New Roman"/>
          <w:position w:val="-9"/>
        </w:rPr>
        <w:drawing>
          <wp:inline distT="0" distB="0" distL="114300" distR="114300">
            <wp:extent cx="1171575" cy="200025"/>
            <wp:effectExtent l="0" t="0" r="1905" b="1333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4"/>
                    <a:stretch>
                      <a:fillRect/>
                    </a:stretch>
                  </pic:blipFill>
                  <pic:spPr>
                    <a:xfrm>
                      <a:off x="0" y="0"/>
                      <a:ext cx="1171575" cy="200025"/>
                    </a:xfrm>
                    <a:prstGeom prst="rect">
                      <a:avLst/>
                    </a:prstGeom>
                    <a:noFill/>
                    <a:ln w="9525">
                      <a:noFill/>
                    </a:ln>
                  </pic:spPr>
                </pic:pic>
              </a:graphicData>
            </a:graphic>
          </wp:inline>
        </w:drawing>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end"/>
      </w:r>
      <w:r>
        <w:rPr>
          <w:rFonts w:hint="default" w:ascii="Times New Roman" w:hAnsi="Times New Roman" w:cs="Times New Roman"/>
        </w:rPr>
        <w:t>……………………………………………（3）</w:t>
      </w:r>
    </w:p>
    <w:p w14:paraId="037994DC">
      <w:pPr>
        <w:spacing w:line="360" w:lineRule="auto"/>
        <w:jc w:val="right"/>
        <w:rPr>
          <w:rFonts w:ascii="宋体" w:hAnsi="宋体"/>
        </w:rPr>
      </w:pPr>
    </w:p>
    <w:p w14:paraId="166EBB30">
      <w:pPr>
        <w:pStyle w:val="17"/>
        <w:tabs>
          <w:tab w:val="center" w:pos="4201"/>
          <w:tab w:val="right" w:leader="dot" w:pos="9298"/>
        </w:tabs>
        <w:spacing w:line="360" w:lineRule="auto"/>
        <w:ind w:firstLine="420"/>
      </w:pPr>
      <w:r>
        <w:rPr>
          <w:rFonts w:hint="eastAsia"/>
        </w:rPr>
        <w:t>式中：</w:t>
      </w:r>
    </w:p>
    <w:p w14:paraId="79934740">
      <w:pPr>
        <w:pStyle w:val="17"/>
        <w:tabs>
          <w:tab w:val="center" w:pos="4201"/>
          <w:tab w:val="right" w:leader="dot" w:pos="9298"/>
        </w:tabs>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i/>
        </w:rPr>
        <w:t>p</w:t>
      </w:r>
      <w:r>
        <w:rPr>
          <w:rFonts w:hint="eastAsia" w:asciiTheme="minorEastAsia" w:hAnsiTheme="minorEastAsia" w:eastAsiaTheme="minorEastAsia" w:cstheme="minorEastAsia"/>
        </w:rPr>
        <w:t>----每细胞dic数；</w:t>
      </w:r>
    </w:p>
    <w:p w14:paraId="4E383024">
      <w:pPr>
        <w:pStyle w:val="17"/>
        <w:tabs>
          <w:tab w:val="center" w:pos="4201"/>
          <w:tab w:val="right" w:leader="dot" w:pos="9298"/>
        </w:tabs>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i/>
        </w:rPr>
        <w:t>x</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半</w:t>
      </w:r>
      <w:r>
        <w:rPr>
          <w:rFonts w:hint="eastAsia" w:asciiTheme="minorEastAsia" w:hAnsiTheme="minorEastAsia" w:cstheme="minorEastAsia"/>
        </w:rPr>
        <w:t>自动</w:t>
      </w:r>
      <w:r>
        <w:rPr>
          <w:rFonts w:hint="eastAsia" w:asciiTheme="minorEastAsia" w:hAnsiTheme="minorEastAsia" w:eastAsiaTheme="minorEastAsia" w:cstheme="minorEastAsia"/>
        </w:rPr>
        <w:t>检测到的dic数；</w:t>
      </w:r>
    </w:p>
    <w:p w14:paraId="7B7FBC55">
      <w:pPr>
        <w:pStyle w:val="17"/>
        <w:tabs>
          <w:tab w:val="center" w:pos="4201"/>
          <w:tab w:val="right" w:leader="dot" w:pos="9298"/>
        </w:tabs>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i/>
          <w:iCs/>
        </w:rPr>
        <w:t>n</w:t>
      </w:r>
      <w:r>
        <w:rPr>
          <w:rFonts w:hint="eastAsia" w:asciiTheme="minorEastAsia" w:hAnsiTheme="minorEastAsia" w:eastAsiaTheme="minorEastAsia" w:cstheme="minorEastAsia"/>
        </w:rPr>
        <w:t>----</w:t>
      </w:r>
      <w:r>
        <w:rPr>
          <w:rFonts w:hint="eastAsia" w:asciiTheme="minorEastAsia" w:hAnsiTheme="minorEastAsia" w:cstheme="minorEastAsia"/>
        </w:rPr>
        <w:t>自动</w:t>
      </w:r>
      <w:r>
        <w:rPr>
          <w:rFonts w:hint="eastAsia" w:asciiTheme="minorEastAsia" w:hAnsiTheme="minorEastAsia" w:eastAsiaTheme="minorEastAsia" w:cstheme="minorEastAsia"/>
        </w:rPr>
        <w:t>分析的细胞数；</w:t>
      </w:r>
    </w:p>
    <w:p w14:paraId="39AB9856">
      <w:pPr>
        <w:pStyle w:val="17"/>
        <w:tabs>
          <w:tab w:val="center" w:pos="4201"/>
          <w:tab w:val="right" w:leader="dot" w:pos="9298"/>
        </w:tabs>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i/>
        </w:rPr>
        <w:t>S</w:t>
      </w:r>
      <w:r>
        <w:rPr>
          <w:rFonts w:hint="eastAsia" w:asciiTheme="minorEastAsia" w:hAnsiTheme="minorEastAsia" w:eastAsiaTheme="minorEastAsia" w:cstheme="minorEastAsia"/>
          <w:i/>
          <w:vertAlign w:val="subscript"/>
        </w:rPr>
        <w:t>p</w:t>
      </w:r>
      <w:r>
        <w:rPr>
          <w:rFonts w:hint="eastAsia" w:asciiTheme="minorEastAsia" w:hAnsiTheme="minorEastAsia" w:eastAsiaTheme="minorEastAsia" w:cstheme="minorEastAsia"/>
        </w:rPr>
        <w:t>---每细胞dic数的标准误；</w:t>
      </w:r>
    </w:p>
    <w:p w14:paraId="1E489436">
      <w:pPr>
        <w:pStyle w:val="17"/>
        <w:tabs>
          <w:tab w:val="center" w:pos="4201"/>
          <w:tab w:val="right" w:leader="dot" w:pos="9298"/>
        </w:tabs>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rPr>
        <w:t>95%</w:t>
      </w:r>
      <w:r>
        <w:rPr>
          <w:rFonts w:hint="eastAsia" w:asciiTheme="minorEastAsia" w:hAnsiTheme="minorEastAsia" w:eastAsiaTheme="minorEastAsia" w:cstheme="minorEastAsia"/>
          <w:i/>
          <w:iCs/>
        </w:rPr>
        <w:t>CI</w:t>
      </w:r>
      <w:r>
        <w:rPr>
          <w:rFonts w:hint="eastAsia" w:asciiTheme="minorEastAsia" w:hAnsiTheme="minorEastAsia" w:eastAsiaTheme="minorEastAsia" w:cstheme="minorEastAsia"/>
        </w:rPr>
        <w:t>----95%可信区间。</w:t>
      </w:r>
    </w:p>
    <w:p w14:paraId="3111BE2F">
      <w:pPr>
        <w:pStyle w:val="39"/>
        <w:numPr>
          <w:ilvl w:val="2"/>
          <w:numId w:val="0"/>
        </w:numPr>
        <w:spacing w:before="120" w:after="120" w:line="360" w:lineRule="auto"/>
        <w:outlineLvl w:val="9"/>
      </w:pPr>
      <w:bookmarkStart w:id="120" w:name="_Toc5286"/>
      <w:bookmarkStart w:id="121" w:name="_Toc86162213"/>
      <w:r>
        <w:rPr>
          <w:rFonts w:hint="eastAsia"/>
        </w:rPr>
        <w:t>4.7.2 受照剂量的估算</w:t>
      </w:r>
      <w:bookmarkEnd w:id="120"/>
      <w:bookmarkEnd w:id="121"/>
    </w:p>
    <w:p w14:paraId="3EB003B2">
      <w:pPr>
        <w:pStyle w:val="17"/>
        <w:tabs>
          <w:tab w:val="center" w:pos="4201"/>
          <w:tab w:val="right" w:leader="dot" w:pos="9298"/>
        </w:tabs>
        <w:spacing w:line="360" w:lineRule="auto"/>
        <w:ind w:firstLine="420"/>
      </w:pPr>
      <w:r>
        <w:rPr>
          <w:rFonts w:hint="eastAsia"/>
        </w:rPr>
        <w:t>将所要估算剂量的标本中得到的每细胞dic及95%可信区间的上、下限分别代入建立的剂量-效应标准曲线，估算出受照剂量，并出具剂量估算报告（见附录B</w:t>
      </w:r>
      <w:r>
        <w:rPr>
          <w:rFonts w:hint="eastAsia"/>
          <w:lang w:val="en-US" w:eastAsia="zh-CN"/>
        </w:rPr>
        <w:t>1</w:t>
      </w:r>
      <w:r>
        <w:rPr>
          <w:rFonts w:hint="eastAsia"/>
        </w:rPr>
        <w:t>）</w:t>
      </w:r>
      <w:r>
        <w:rPr>
          <w:rFonts w:hint="eastAsia"/>
          <w:lang w:eastAsia="zh-CN"/>
        </w:rPr>
        <w:t>，</w:t>
      </w:r>
      <w:r>
        <w:rPr>
          <w:rFonts w:hint="eastAsia"/>
        </w:rPr>
        <w:t>DCScore软件自动分析检出的阳性和假阳性的dic</w:t>
      </w:r>
      <w:r>
        <w:rPr>
          <w:rFonts w:hint="eastAsia"/>
          <w:lang w:val="en-US" w:eastAsia="zh-CN"/>
        </w:rPr>
        <w:t>见</w:t>
      </w:r>
      <w:r>
        <w:rPr>
          <w:rFonts w:hint="eastAsia"/>
        </w:rPr>
        <w:t>附录B</w:t>
      </w:r>
      <w:r>
        <w:rPr>
          <w:rFonts w:hint="eastAsia"/>
          <w:lang w:val="en-US" w:eastAsia="zh-CN"/>
        </w:rPr>
        <w:t>2</w:t>
      </w:r>
      <w:r>
        <w:rPr>
          <w:rFonts w:hint="eastAsia"/>
        </w:rPr>
        <w:t>。事故受照人员生物剂量估算示例</w:t>
      </w:r>
      <w:r>
        <w:rPr>
          <w:rFonts w:hint="eastAsia"/>
          <w:lang w:val="en-US" w:eastAsia="zh-CN"/>
        </w:rPr>
        <w:t>,</w:t>
      </w:r>
      <w:r>
        <w:rPr>
          <w:rFonts w:hint="eastAsia"/>
        </w:rPr>
        <w:t>参见附录C；</w:t>
      </w:r>
      <w:r>
        <w:rPr>
          <w:rFonts w:hint="eastAsia"/>
          <w:sz w:val="21"/>
          <w:szCs w:val="20"/>
          <w:lang w:val="en-US" w:eastAsia="zh-CN"/>
        </w:rPr>
        <w:t>复杂外照射场景</w:t>
      </w:r>
      <w:r>
        <w:rPr>
          <w:rFonts w:hint="eastAsia"/>
          <w:sz w:val="21"/>
          <w:szCs w:val="20"/>
        </w:rPr>
        <w:t>的生物剂量估算</w:t>
      </w:r>
      <w:r>
        <w:rPr>
          <w:rFonts w:hint="eastAsia"/>
          <w:sz w:val="21"/>
          <w:szCs w:val="20"/>
          <w:lang w:val="en-US" w:eastAsia="zh-CN"/>
        </w:rPr>
        <w:t>,</w:t>
      </w:r>
      <w:r>
        <w:rPr>
          <w:rFonts w:hint="eastAsia"/>
        </w:rPr>
        <w:t>参见附录D。</w:t>
      </w:r>
    </w:p>
    <w:p w14:paraId="071BD840">
      <w:pPr>
        <w:pStyle w:val="40"/>
        <w:numPr>
          <w:ilvl w:val="1"/>
          <w:numId w:val="0"/>
        </w:numPr>
        <w:spacing w:before="240" w:after="240" w:line="360" w:lineRule="auto"/>
        <w:outlineLvl w:val="1"/>
      </w:pPr>
      <w:bookmarkStart w:id="122" w:name="_Toc77574352"/>
      <w:bookmarkStart w:id="123" w:name="_Toc503606342"/>
      <w:bookmarkStart w:id="124" w:name="_Toc28259"/>
      <w:bookmarkStart w:id="125" w:name="_Toc76762522"/>
      <w:bookmarkStart w:id="126" w:name="_Toc86162214"/>
      <w:bookmarkStart w:id="127" w:name="_Toc87375127"/>
      <w:bookmarkStart w:id="128" w:name="_Toc76210013"/>
      <w:bookmarkStart w:id="129" w:name="_Toc77574380"/>
      <w:bookmarkStart w:id="130" w:name="_Toc76241493"/>
      <w:bookmarkStart w:id="131" w:name="_Toc503606084"/>
      <w:bookmarkStart w:id="132" w:name="_Toc19208"/>
      <w:bookmarkStart w:id="133" w:name="_Toc77020196"/>
      <w:bookmarkStart w:id="134" w:name="_Toc1691"/>
      <w:bookmarkStart w:id="135" w:name="_Toc86162232"/>
      <w:bookmarkStart w:id="136" w:name="_Toc77020831"/>
      <w:bookmarkStart w:id="137" w:name="_Toc76211775"/>
      <w:bookmarkStart w:id="138" w:name="_Toc87788482"/>
      <w:r>
        <w:rPr>
          <w:rFonts w:hint="eastAsia"/>
        </w:rPr>
        <w:t>4.8  质量控制</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14:paraId="218E2B8B">
      <w:pPr>
        <w:pStyle w:val="38"/>
        <w:numPr>
          <w:ilvl w:val="2"/>
          <w:numId w:val="0"/>
        </w:numPr>
        <w:spacing w:line="360" w:lineRule="auto"/>
      </w:pPr>
      <w:r>
        <w:rPr>
          <w:rFonts w:hint="eastAsia" w:ascii="黑体" w:hAnsi="黑体" w:eastAsia="黑体" w:cs="黑体"/>
        </w:rPr>
        <w:t>4.8.1</w:t>
      </w:r>
      <w:r>
        <w:rPr>
          <w:rFonts w:hint="eastAsia"/>
          <w:b/>
          <w:bCs/>
        </w:rPr>
        <w:t xml:space="preserve"> </w:t>
      </w:r>
      <w:r>
        <w:rPr>
          <w:rFonts w:hint="eastAsia"/>
        </w:rPr>
        <w:t>进行染色体畸变分析的实验室应有2</w:t>
      </w:r>
      <w:r>
        <w:rPr>
          <w:szCs w:val="21"/>
        </w:rPr>
        <w:t> </w:t>
      </w:r>
      <w:r>
        <w:rPr>
          <w:rFonts w:hint="eastAsia"/>
        </w:rPr>
        <w:t>名（含）以上专业技术人员，掌握电离辐射生物效应和细胞遗传学基础知识，能识别包括dic在内各型染色体畸变。</w:t>
      </w:r>
    </w:p>
    <w:p w14:paraId="66F5C71B">
      <w:pPr>
        <w:pStyle w:val="39"/>
        <w:numPr>
          <w:ilvl w:val="2"/>
          <w:numId w:val="0"/>
        </w:numPr>
        <w:spacing w:before="0" w:beforeLines="0" w:after="0" w:afterLines="0" w:line="360" w:lineRule="auto"/>
        <w:outlineLvl w:val="9"/>
        <w:rPr>
          <w:rFonts w:eastAsia="宋体"/>
        </w:rPr>
      </w:pPr>
      <w:bookmarkStart w:id="139" w:name="_Toc86162215"/>
      <w:bookmarkStart w:id="140" w:name="_Toc13840"/>
      <w:r>
        <w:rPr>
          <w:rFonts w:hint="eastAsia" w:hAnsi="黑体" w:cs="黑体"/>
        </w:rPr>
        <w:t>4.8.</w:t>
      </w:r>
      <w:r>
        <w:rPr>
          <w:rFonts w:hint="eastAsia" w:eastAsia="宋体"/>
        </w:rPr>
        <w:t>2 标本应有唯一性编号，标本分析完毕后，应置于玻片盒内长期保存，并做好记录。</w:t>
      </w:r>
      <w:bookmarkEnd w:id="139"/>
      <w:bookmarkEnd w:id="140"/>
    </w:p>
    <w:p w14:paraId="09163DBA">
      <w:pPr>
        <w:pStyle w:val="38"/>
        <w:numPr>
          <w:ilvl w:val="2"/>
          <w:numId w:val="0"/>
        </w:numPr>
        <w:spacing w:line="360" w:lineRule="auto"/>
      </w:pPr>
      <w:r>
        <w:rPr>
          <w:rFonts w:hint="eastAsia" w:ascii="黑体" w:hAnsi="黑体" w:eastAsia="黑体" w:cs="黑体"/>
        </w:rPr>
        <w:t>4.8.</w:t>
      </w:r>
      <w:r>
        <w:rPr>
          <w:rFonts w:hint="eastAsia" w:ascii="黑体" w:hAnsi="黑体" w:eastAsia="黑体" w:cs="黑体"/>
          <w:szCs w:val="21"/>
        </w:rPr>
        <w:t>3</w:t>
      </w:r>
      <w:r>
        <w:rPr>
          <w:rFonts w:hint="eastAsia"/>
          <w:szCs w:val="21"/>
        </w:rPr>
        <w:t xml:space="preserve"> </w:t>
      </w:r>
      <w:r>
        <w:rPr>
          <w:szCs w:val="21"/>
        </w:rPr>
        <w:t>实验室应定期</w:t>
      </w:r>
      <w:r>
        <w:t>参加</w:t>
      </w:r>
      <w:r>
        <w:rPr>
          <w:rFonts w:hint="eastAsia"/>
          <w:lang w:val="en-US" w:eastAsia="zh-CN"/>
        </w:rPr>
        <w:t>省级以上质量控制机构</w:t>
      </w:r>
      <w:r>
        <w:t>组织的</w:t>
      </w:r>
      <w:r>
        <w:rPr>
          <w:rFonts w:hint="eastAsia"/>
          <w:lang w:val="en-US" w:eastAsia="zh-CN"/>
        </w:rPr>
        <w:t>实验室间比对</w:t>
      </w:r>
      <w:r>
        <w:rPr>
          <w:rFonts w:hint="eastAsia"/>
        </w:rPr>
        <w:t>。</w:t>
      </w:r>
    </w:p>
    <w:p w14:paraId="23F3A05A">
      <w:pPr>
        <w:pStyle w:val="38"/>
        <w:numPr>
          <w:ilvl w:val="2"/>
          <w:numId w:val="0"/>
        </w:numPr>
        <w:spacing w:line="360" w:lineRule="auto"/>
      </w:pPr>
      <w:r>
        <w:rPr>
          <w:rFonts w:hint="eastAsia" w:ascii="黑体" w:hAnsi="黑体" w:eastAsia="黑体" w:cs="黑体"/>
        </w:rPr>
        <w:t>4.8.4</w:t>
      </w:r>
      <w:r>
        <w:rPr>
          <w:rFonts w:hint="eastAsia" w:ascii="Times New Roman"/>
        </w:rPr>
        <w:t xml:space="preserve"> </w:t>
      </w:r>
      <w:r>
        <w:rPr>
          <w:rFonts w:ascii="Times New Roman"/>
        </w:rPr>
        <w:t>实验室</w:t>
      </w:r>
      <w:r>
        <w:rPr>
          <w:rFonts w:hint="eastAsia" w:ascii="Times New Roman"/>
        </w:rPr>
        <w:t>化学和</w:t>
      </w:r>
      <w:r>
        <w:rPr>
          <w:rFonts w:ascii="Times New Roman"/>
        </w:rPr>
        <w:t>生物安全</w:t>
      </w:r>
      <w:r>
        <w:rPr>
          <w:rFonts w:hint="eastAsia" w:ascii="Times New Roman"/>
        </w:rPr>
        <w:t>应符合国家法律法规和标准的要求。</w:t>
      </w:r>
    </w:p>
    <w:p w14:paraId="680D7C77">
      <w:pPr>
        <w:pStyle w:val="40"/>
        <w:numPr>
          <w:ilvl w:val="1"/>
          <w:numId w:val="0"/>
        </w:numPr>
        <w:spacing w:before="240" w:after="240" w:line="360" w:lineRule="auto"/>
        <w:outlineLvl w:val="1"/>
      </w:pPr>
      <w:bookmarkStart w:id="141" w:name="_Toc11371"/>
      <w:bookmarkStart w:id="142" w:name="_Toc23664"/>
      <w:bookmarkStart w:id="143" w:name="_Toc86162233"/>
      <w:bookmarkStart w:id="144" w:name="_Toc77020197"/>
      <w:bookmarkStart w:id="145" w:name="_Toc86162216"/>
      <w:bookmarkStart w:id="146" w:name="_Toc77574381"/>
      <w:bookmarkStart w:id="147" w:name="_Toc87788483"/>
      <w:bookmarkStart w:id="148" w:name="_Toc76210014"/>
      <w:bookmarkStart w:id="149" w:name="_Toc76241494"/>
      <w:bookmarkStart w:id="150" w:name="_Toc28108"/>
      <w:bookmarkStart w:id="151" w:name="_Toc87375128"/>
      <w:bookmarkStart w:id="152" w:name="_Toc76762523"/>
      <w:bookmarkStart w:id="153" w:name="_Toc76211776"/>
      <w:bookmarkStart w:id="154" w:name="_Toc77020832"/>
      <w:bookmarkStart w:id="155" w:name="_Toc77574353"/>
      <w:r>
        <w:rPr>
          <w:rFonts w:hint="eastAsia"/>
        </w:rPr>
        <w:t>4.9  估算剂量的原则</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14:paraId="405F53CE">
      <w:pPr>
        <w:pStyle w:val="38"/>
        <w:numPr>
          <w:ilvl w:val="2"/>
          <w:numId w:val="0"/>
        </w:numPr>
        <w:spacing w:line="360" w:lineRule="auto"/>
      </w:pPr>
      <w:r>
        <w:rPr>
          <w:rFonts w:hint="eastAsia" w:ascii="黑体" w:hAnsi="黑体" w:eastAsia="黑体" w:cs="黑体"/>
        </w:rPr>
        <w:t>4.9.1</w:t>
      </w:r>
      <w:r>
        <w:rPr>
          <w:rFonts w:hint="eastAsia"/>
        </w:rPr>
        <w:t xml:space="preserve"> dic半自动分析比较准确估算剂量的范围为0.25 Gy～5.0 Gy之间。</w:t>
      </w:r>
    </w:p>
    <w:p w14:paraId="20C9338A">
      <w:pPr>
        <w:pStyle w:val="38"/>
        <w:numPr>
          <w:ilvl w:val="2"/>
          <w:numId w:val="0"/>
        </w:numPr>
        <w:spacing w:line="360" w:lineRule="auto"/>
      </w:pPr>
      <w:r>
        <w:rPr>
          <w:rFonts w:hint="eastAsia" w:ascii="黑体" w:hAnsi="黑体" w:eastAsia="黑体" w:cs="黑体"/>
        </w:rPr>
        <w:t>4.9.2</w:t>
      </w:r>
      <w:r>
        <w:rPr>
          <w:rFonts w:hint="eastAsia"/>
        </w:rPr>
        <w:t xml:space="preserve"> 事故后应尽早取血，不宜超过8</w:t>
      </w:r>
      <w:r>
        <w:t>周</w:t>
      </w:r>
      <w:r>
        <w:rPr>
          <w:rFonts w:hint="eastAsia"/>
        </w:rPr>
        <w:t>。</w:t>
      </w:r>
    </w:p>
    <w:p w14:paraId="7BE7FBF8">
      <w:pPr>
        <w:pStyle w:val="38"/>
        <w:numPr>
          <w:ilvl w:val="2"/>
          <w:numId w:val="0"/>
        </w:numPr>
        <w:spacing w:line="360" w:lineRule="auto"/>
      </w:pPr>
      <w:r>
        <w:rPr>
          <w:rFonts w:hint="eastAsia" w:ascii="黑体" w:hAnsi="黑体" w:eastAsia="黑体" w:cs="黑体"/>
        </w:rPr>
        <w:t>4.9.3</w:t>
      </w:r>
      <w:r>
        <w:rPr>
          <w:rFonts w:hint="eastAsia"/>
        </w:rPr>
        <w:t xml:space="preserve"> 培养条件、制片方法和染色体畸变的判断标准应与建立剂量-效应曲线时一致。</w:t>
      </w:r>
    </w:p>
    <w:p w14:paraId="66F6B1E5">
      <w:pPr>
        <w:pStyle w:val="38"/>
        <w:numPr>
          <w:ilvl w:val="2"/>
          <w:numId w:val="0"/>
        </w:numPr>
        <w:spacing w:line="360" w:lineRule="auto"/>
        <w:rPr>
          <w:szCs w:val="21"/>
        </w:rPr>
      </w:pPr>
      <w:r>
        <w:rPr>
          <w:rFonts w:hint="eastAsia" w:ascii="黑体" w:hAnsi="黑体" w:eastAsia="黑体" w:cs="黑体"/>
        </w:rPr>
        <w:t>4.9.4</w:t>
      </w:r>
      <w:r>
        <w:rPr>
          <w:rFonts w:hint="eastAsia"/>
        </w:rPr>
        <w:t xml:space="preserve"> 对估算剂量的个体，至少应自动分析500个中期相细胞或自动检测到100个dic</w:t>
      </w:r>
      <w:r>
        <w:rPr>
          <w:rFonts w:hint="eastAsia"/>
          <w:szCs w:val="21"/>
        </w:rPr>
        <w:t>。</w:t>
      </w:r>
      <w:r>
        <w:rPr>
          <w:rFonts w:hint="eastAsia"/>
        </w:rPr>
        <w:t>以应急为目的进行分类诊断时，</w:t>
      </w:r>
      <w:r>
        <w:rPr>
          <w:rFonts w:hint="eastAsia" w:ascii="Times New Roman"/>
          <w:szCs w:val="21"/>
        </w:rPr>
        <w:t>自动分析150个细胞</w:t>
      </w:r>
      <w:r>
        <w:rPr>
          <w:rFonts w:ascii="Times New Roman"/>
          <w:szCs w:val="21"/>
        </w:rPr>
        <w:t>或计数30个dic估算的剂量可以满足早期分类诊断的需要。</w:t>
      </w:r>
    </w:p>
    <w:p w14:paraId="14A18BC0">
      <w:pPr>
        <w:pStyle w:val="38"/>
        <w:numPr>
          <w:ilvl w:val="2"/>
          <w:numId w:val="0"/>
        </w:numPr>
        <w:spacing w:line="360" w:lineRule="auto"/>
      </w:pPr>
      <w:r>
        <w:rPr>
          <w:rFonts w:hint="eastAsia" w:ascii="黑体" w:hAnsi="黑体" w:eastAsia="黑体" w:cs="黑体"/>
        </w:rPr>
        <w:t>4.9.5</w:t>
      </w:r>
      <w:r>
        <w:rPr>
          <w:rFonts w:hint="eastAsia"/>
        </w:rPr>
        <w:t xml:space="preserve"> </w:t>
      </w:r>
      <w:r>
        <w:rPr>
          <w:rFonts w:ascii="Times New Roman"/>
        </w:rPr>
        <w:t>应选择与事故条件接近，通过本机构dic自动分析系统或软件拟合的刻度曲线进行剂量估算，在曲线剂量范围内应用，一般不外推</w:t>
      </w:r>
      <w:r>
        <w:rPr>
          <w:rFonts w:hint="eastAsia"/>
        </w:rPr>
        <w:t>。</w:t>
      </w:r>
    </w:p>
    <w:p w14:paraId="496D4EE9">
      <w:pPr>
        <w:pStyle w:val="38"/>
        <w:numPr>
          <w:ilvl w:val="2"/>
          <w:numId w:val="0"/>
        </w:numPr>
        <w:spacing w:line="360" w:lineRule="auto"/>
      </w:pPr>
      <w:r>
        <w:rPr>
          <w:rFonts w:hint="eastAsia" w:ascii="黑体" w:hAnsi="黑体" w:eastAsia="黑体" w:cs="黑体"/>
        </w:rPr>
        <w:t>4.9.6</w:t>
      </w:r>
      <w:r>
        <w:rPr>
          <w:rFonts w:hint="eastAsia"/>
        </w:rPr>
        <w:t xml:space="preserve"> 估算剂量时，除给出平均值外，同时给出剂量范围的95%可信区间。在计算95%的可信区间时，可以忽略回归方程式中由于不确定性的dic率的标准误，只计算dic率的标准误即可。</w:t>
      </w:r>
    </w:p>
    <w:p w14:paraId="11468B6C">
      <w:pPr>
        <w:pStyle w:val="17"/>
        <w:tabs>
          <w:tab w:val="center" w:pos="4201"/>
          <w:tab w:val="right" w:leader="dot" w:pos="9298"/>
        </w:tabs>
        <w:spacing w:line="360" w:lineRule="auto"/>
        <w:ind w:firstLine="420"/>
        <w:rPr>
          <w:rFonts w:ascii="Times New Roman"/>
          <w:color w:val="000000"/>
        </w:rPr>
      </w:pPr>
    </w:p>
    <w:p w14:paraId="43F8C40E">
      <w:pPr>
        <w:pStyle w:val="17"/>
        <w:tabs>
          <w:tab w:val="center" w:pos="4201"/>
          <w:tab w:val="right" w:leader="dot" w:pos="9298"/>
        </w:tabs>
        <w:ind w:firstLine="420"/>
        <w:rPr>
          <w:rFonts w:ascii="Times New Roman"/>
          <w:color w:val="000000"/>
        </w:rPr>
      </w:pPr>
    </w:p>
    <w:p w14:paraId="751A06F0">
      <w:pPr>
        <w:pStyle w:val="17"/>
        <w:tabs>
          <w:tab w:val="center" w:pos="4201"/>
          <w:tab w:val="right" w:leader="dot" w:pos="9298"/>
        </w:tabs>
        <w:ind w:firstLine="420"/>
        <w:rPr>
          <w:rFonts w:ascii="Times New Roman"/>
          <w:color w:val="000000"/>
        </w:rPr>
      </w:pPr>
    </w:p>
    <w:p w14:paraId="46B2BCEB">
      <w:pPr>
        <w:pStyle w:val="17"/>
        <w:tabs>
          <w:tab w:val="center" w:pos="4201"/>
          <w:tab w:val="right" w:leader="dot" w:pos="9298"/>
        </w:tabs>
        <w:ind w:firstLine="420"/>
        <w:rPr>
          <w:rFonts w:ascii="Times New Roman"/>
          <w:color w:val="000000"/>
        </w:rPr>
      </w:pPr>
    </w:p>
    <w:p w14:paraId="5C657AF4">
      <w:pPr>
        <w:pStyle w:val="17"/>
        <w:tabs>
          <w:tab w:val="center" w:pos="4201"/>
          <w:tab w:val="right" w:leader="dot" w:pos="9298"/>
        </w:tabs>
        <w:ind w:firstLine="420"/>
        <w:rPr>
          <w:rFonts w:ascii="Times New Roman"/>
          <w:color w:val="000000"/>
        </w:rPr>
      </w:pPr>
    </w:p>
    <w:p w14:paraId="442E8F85">
      <w:pPr>
        <w:pStyle w:val="17"/>
        <w:tabs>
          <w:tab w:val="center" w:pos="4201"/>
          <w:tab w:val="right" w:leader="dot" w:pos="9298"/>
        </w:tabs>
        <w:ind w:firstLine="420"/>
        <w:rPr>
          <w:rFonts w:ascii="Times New Roman"/>
          <w:color w:val="000000"/>
        </w:rPr>
      </w:pPr>
    </w:p>
    <w:p w14:paraId="17DF4F4C">
      <w:pPr>
        <w:pStyle w:val="17"/>
        <w:tabs>
          <w:tab w:val="center" w:pos="4201"/>
          <w:tab w:val="right" w:leader="dot" w:pos="9298"/>
        </w:tabs>
        <w:ind w:firstLine="420"/>
        <w:rPr>
          <w:rFonts w:ascii="Times New Roman"/>
          <w:color w:val="000000"/>
        </w:rPr>
      </w:pPr>
    </w:p>
    <w:p w14:paraId="61421D5D">
      <w:pPr>
        <w:pStyle w:val="17"/>
        <w:tabs>
          <w:tab w:val="center" w:pos="4201"/>
          <w:tab w:val="right" w:leader="dot" w:pos="9298"/>
        </w:tabs>
        <w:ind w:firstLine="420"/>
        <w:rPr>
          <w:rFonts w:ascii="Times New Roman"/>
          <w:color w:val="000000"/>
        </w:rPr>
      </w:pPr>
    </w:p>
    <w:p w14:paraId="745B2563">
      <w:pPr>
        <w:pStyle w:val="17"/>
        <w:tabs>
          <w:tab w:val="center" w:pos="4201"/>
          <w:tab w:val="right" w:leader="dot" w:pos="9298"/>
        </w:tabs>
        <w:ind w:firstLine="420"/>
        <w:rPr>
          <w:rFonts w:ascii="Times New Roman"/>
          <w:color w:val="000000"/>
        </w:rPr>
      </w:pPr>
    </w:p>
    <w:p w14:paraId="4315878C">
      <w:pPr>
        <w:pStyle w:val="17"/>
        <w:tabs>
          <w:tab w:val="center" w:pos="4201"/>
          <w:tab w:val="right" w:leader="dot" w:pos="9298"/>
        </w:tabs>
        <w:ind w:firstLine="420"/>
        <w:rPr>
          <w:rFonts w:ascii="Times New Roman"/>
          <w:color w:val="000000"/>
        </w:rPr>
      </w:pPr>
    </w:p>
    <w:p w14:paraId="2B861DF0">
      <w:pPr>
        <w:pStyle w:val="17"/>
        <w:tabs>
          <w:tab w:val="center" w:pos="4201"/>
          <w:tab w:val="right" w:leader="dot" w:pos="9298"/>
        </w:tabs>
        <w:ind w:firstLine="420"/>
        <w:rPr>
          <w:rFonts w:ascii="Times New Roman"/>
          <w:color w:val="000000"/>
        </w:rPr>
      </w:pPr>
    </w:p>
    <w:p w14:paraId="790D1F3B">
      <w:pPr>
        <w:jc w:val="center"/>
        <w:rPr>
          <w:rFonts w:ascii="黑体" w:hAnsi="黑体" w:eastAsia="黑体" w:cs="Times New Roman"/>
          <w:kern w:val="0"/>
          <w:szCs w:val="21"/>
        </w:rPr>
      </w:pPr>
    </w:p>
    <w:p w14:paraId="6B9998D3">
      <w:pPr>
        <w:jc w:val="center"/>
        <w:rPr>
          <w:rFonts w:ascii="黑体" w:hAnsi="黑体" w:eastAsia="黑体" w:cs="Times New Roman"/>
          <w:kern w:val="0"/>
          <w:szCs w:val="21"/>
        </w:rPr>
      </w:pPr>
    </w:p>
    <w:p w14:paraId="3EF49CA0">
      <w:pPr>
        <w:pStyle w:val="42"/>
        <w:spacing w:before="60" w:after="120"/>
      </w:pPr>
      <w:bookmarkStart w:id="156" w:name="_Toc12131"/>
      <w:bookmarkStart w:id="157" w:name="_Toc12800"/>
      <w:bookmarkStart w:id="158" w:name="_Toc26641"/>
      <w:r>
        <w:br w:type="textWrapping"/>
      </w:r>
      <w:bookmarkStart w:id="159" w:name="_Toc86162234"/>
      <w:bookmarkStart w:id="160" w:name="_Toc87375129"/>
      <w:bookmarkStart w:id="161" w:name="_Toc87788484"/>
      <w:bookmarkStart w:id="162" w:name="_Toc86162217"/>
      <w:r>
        <w:rPr>
          <w:rFonts w:hint="eastAsia"/>
        </w:rPr>
        <w:t>（规范性）</w:t>
      </w:r>
      <w:r>
        <w:br w:type="textWrapping"/>
      </w:r>
      <w:r>
        <w:rPr>
          <w:rFonts w:hint="eastAsia"/>
        </w:rPr>
        <w:t>主要仪器设备和试剂配制</w:t>
      </w:r>
      <w:bookmarkEnd w:id="156"/>
      <w:bookmarkEnd w:id="157"/>
      <w:bookmarkEnd w:id="158"/>
      <w:bookmarkEnd w:id="159"/>
      <w:bookmarkEnd w:id="160"/>
      <w:bookmarkEnd w:id="161"/>
      <w:bookmarkEnd w:id="162"/>
    </w:p>
    <w:p w14:paraId="0FDD78FC">
      <w:pPr>
        <w:pStyle w:val="43"/>
        <w:numPr>
          <w:ilvl w:val="1"/>
          <w:numId w:val="3"/>
        </w:numPr>
        <w:spacing w:before="240" w:after="240"/>
        <w:outlineLvl w:val="9"/>
      </w:pPr>
      <w:bookmarkStart w:id="163" w:name="_Toc4666"/>
      <w:bookmarkStart w:id="164" w:name="_Toc7192"/>
      <w:bookmarkStart w:id="165" w:name="_Toc27865"/>
      <w:r>
        <w:rPr>
          <w:rFonts w:hint="eastAsia"/>
        </w:rPr>
        <w:t>主要仪器设备</w:t>
      </w:r>
      <w:bookmarkEnd w:id="163"/>
      <w:bookmarkEnd w:id="164"/>
      <w:bookmarkEnd w:id="165"/>
    </w:p>
    <w:p w14:paraId="1D446874">
      <w:pPr>
        <w:pStyle w:val="44"/>
        <w:numPr>
          <w:ilvl w:val="2"/>
          <w:numId w:val="3"/>
        </w:numPr>
        <w:spacing w:before="0" w:beforeLines="0" w:after="0" w:afterLines="0"/>
        <w:outlineLvl w:val="9"/>
        <w:rPr>
          <w:rFonts w:ascii="宋体" w:hAnsi="宋体" w:eastAsia="宋体"/>
        </w:rPr>
      </w:pPr>
      <w:bookmarkStart w:id="166" w:name="_Toc3815"/>
      <w:bookmarkStart w:id="167" w:name="_Toc17172"/>
      <w:bookmarkStart w:id="168" w:name="_Toc1405"/>
      <w:r>
        <w:rPr>
          <w:rFonts w:hint="eastAsia" w:ascii="宋体" w:hAnsi="宋体" w:eastAsia="宋体"/>
        </w:rPr>
        <w:t>超净工作台：用于接种细胞。</w:t>
      </w:r>
      <w:bookmarkEnd w:id="166"/>
      <w:bookmarkEnd w:id="167"/>
      <w:bookmarkEnd w:id="168"/>
    </w:p>
    <w:p w14:paraId="456E8C67">
      <w:pPr>
        <w:pStyle w:val="44"/>
        <w:numPr>
          <w:ilvl w:val="2"/>
          <w:numId w:val="3"/>
        </w:numPr>
        <w:spacing w:before="0" w:beforeLines="0" w:after="0" w:afterLines="0"/>
        <w:outlineLvl w:val="9"/>
        <w:rPr>
          <w:rFonts w:ascii="宋体" w:hAnsi="宋体" w:eastAsia="宋体"/>
        </w:rPr>
      </w:pPr>
      <w:bookmarkStart w:id="169" w:name="_Toc25512"/>
      <w:bookmarkStart w:id="170" w:name="_Toc7962"/>
      <w:bookmarkStart w:id="171" w:name="_Toc6921"/>
      <w:r>
        <w:rPr>
          <w:rFonts w:hint="eastAsia" w:ascii="宋体" w:hAnsi="宋体" w:eastAsia="宋体"/>
        </w:rPr>
        <w:t>恒温培养箱：用于培养细胞。</w:t>
      </w:r>
      <w:bookmarkEnd w:id="169"/>
      <w:bookmarkEnd w:id="170"/>
      <w:bookmarkEnd w:id="171"/>
    </w:p>
    <w:p w14:paraId="2F8F9EED">
      <w:pPr>
        <w:pStyle w:val="44"/>
        <w:numPr>
          <w:ilvl w:val="2"/>
          <w:numId w:val="3"/>
        </w:numPr>
        <w:spacing w:before="0" w:beforeLines="0" w:after="0" w:afterLines="0"/>
        <w:outlineLvl w:val="9"/>
        <w:rPr>
          <w:rFonts w:ascii="宋体" w:hAnsi="宋体" w:eastAsia="宋体"/>
        </w:rPr>
      </w:pPr>
      <w:bookmarkStart w:id="172" w:name="_Toc9195"/>
      <w:bookmarkStart w:id="173" w:name="_Toc23687"/>
      <w:bookmarkStart w:id="174" w:name="_Toc3902"/>
      <w:r>
        <w:rPr>
          <w:rFonts w:hint="eastAsia" w:ascii="宋体" w:hAnsi="宋体" w:eastAsia="宋体"/>
        </w:rPr>
        <w:t>普通水平式离心机：用于分离细胞。</w:t>
      </w:r>
      <w:bookmarkEnd w:id="172"/>
      <w:bookmarkEnd w:id="173"/>
      <w:bookmarkEnd w:id="174"/>
    </w:p>
    <w:p w14:paraId="03EC3D7E">
      <w:pPr>
        <w:pStyle w:val="44"/>
        <w:numPr>
          <w:ilvl w:val="2"/>
          <w:numId w:val="3"/>
        </w:numPr>
        <w:spacing w:before="0" w:beforeLines="0" w:after="0" w:afterLines="0"/>
        <w:outlineLvl w:val="9"/>
        <w:rPr>
          <w:rFonts w:ascii="宋体" w:hAnsi="宋体" w:eastAsia="宋体"/>
        </w:rPr>
      </w:pPr>
      <w:bookmarkStart w:id="175" w:name="_Toc607"/>
      <w:bookmarkStart w:id="176" w:name="_Toc20601"/>
      <w:bookmarkStart w:id="177" w:name="_Toc13542"/>
      <w:r>
        <w:rPr>
          <w:rFonts w:hint="eastAsia" w:ascii="宋体" w:hAnsi="宋体" w:eastAsia="宋体"/>
        </w:rPr>
        <w:t>光学显微镜：带坐标刻度，用于观察细胞。</w:t>
      </w:r>
      <w:bookmarkEnd w:id="175"/>
      <w:bookmarkEnd w:id="176"/>
      <w:bookmarkEnd w:id="177"/>
    </w:p>
    <w:p w14:paraId="179E29AF">
      <w:pPr>
        <w:pStyle w:val="44"/>
        <w:numPr>
          <w:ilvl w:val="2"/>
          <w:numId w:val="3"/>
        </w:numPr>
        <w:spacing w:before="0" w:beforeLines="0" w:after="0" w:afterLines="0"/>
        <w:outlineLvl w:val="9"/>
        <w:rPr>
          <w:rFonts w:ascii="宋体" w:hAnsi="宋体" w:eastAsia="宋体"/>
        </w:rPr>
      </w:pPr>
      <w:bookmarkStart w:id="178" w:name="_Toc9854"/>
      <w:bookmarkStart w:id="179" w:name="_Toc11715"/>
      <w:bookmarkStart w:id="180" w:name="_Toc19748"/>
      <w:r>
        <w:rPr>
          <w:rFonts w:hint="eastAsia" w:ascii="宋体" w:hAnsi="宋体" w:eastAsia="宋体"/>
        </w:rPr>
        <w:t>冰箱：至少具备-20</w:t>
      </w:r>
      <w:r>
        <w:rPr>
          <w:szCs w:val="21"/>
        </w:rPr>
        <w:t> </w:t>
      </w:r>
      <w:r>
        <w:rPr>
          <w:rFonts w:hint="eastAsia" w:ascii="宋体" w:hAnsi="宋体" w:eastAsia="宋体"/>
        </w:rPr>
        <w:t>℃和4</w:t>
      </w:r>
      <w:r>
        <w:rPr>
          <w:szCs w:val="21"/>
        </w:rPr>
        <w:t> </w:t>
      </w:r>
      <w:r>
        <w:rPr>
          <w:rFonts w:hint="eastAsia" w:ascii="宋体" w:hAnsi="宋体" w:eastAsia="宋体"/>
        </w:rPr>
        <w:t>℃条件，用于储存实验用试剂。</w:t>
      </w:r>
      <w:bookmarkEnd w:id="178"/>
      <w:bookmarkEnd w:id="179"/>
      <w:bookmarkEnd w:id="180"/>
    </w:p>
    <w:p w14:paraId="22E421E2">
      <w:pPr>
        <w:pStyle w:val="44"/>
        <w:numPr>
          <w:ilvl w:val="2"/>
          <w:numId w:val="3"/>
        </w:numPr>
        <w:spacing w:before="0" w:beforeLines="0" w:after="0" w:afterLines="0"/>
        <w:outlineLvl w:val="9"/>
        <w:rPr>
          <w:rFonts w:ascii="宋体" w:hAnsi="宋体" w:eastAsia="宋体"/>
        </w:rPr>
      </w:pPr>
      <w:bookmarkStart w:id="181" w:name="_Toc12559"/>
      <w:bookmarkStart w:id="182" w:name="_Toc28396"/>
      <w:bookmarkStart w:id="183" w:name="_Toc11730"/>
      <w:r>
        <w:rPr>
          <w:rFonts w:hint="eastAsia" w:ascii="宋体" w:hAnsi="宋体" w:eastAsia="宋体"/>
        </w:rPr>
        <w:t>水浴箱（锅）：用于低渗细胞。</w:t>
      </w:r>
      <w:bookmarkEnd w:id="181"/>
      <w:bookmarkEnd w:id="182"/>
      <w:bookmarkEnd w:id="183"/>
    </w:p>
    <w:p w14:paraId="7758C18E">
      <w:pPr>
        <w:pStyle w:val="44"/>
        <w:numPr>
          <w:ilvl w:val="2"/>
          <w:numId w:val="3"/>
        </w:numPr>
        <w:spacing w:before="0" w:beforeLines="0" w:after="0" w:afterLines="0"/>
        <w:outlineLvl w:val="9"/>
      </w:pPr>
      <w:bookmarkStart w:id="184" w:name="_Toc11361"/>
      <w:bookmarkStart w:id="185" w:name="_Toc26226"/>
      <w:bookmarkStart w:id="186" w:name="_Toc3392"/>
      <w:r>
        <w:rPr>
          <w:rFonts w:hint="eastAsia" w:ascii="宋体" w:hAnsi="宋体" w:eastAsia="宋体"/>
        </w:rPr>
        <w:t>通风橱或通风柜：用于实验中的排风。</w:t>
      </w:r>
      <w:bookmarkEnd w:id="184"/>
      <w:bookmarkEnd w:id="185"/>
      <w:bookmarkEnd w:id="186"/>
    </w:p>
    <w:p w14:paraId="03F02F74">
      <w:pPr>
        <w:pStyle w:val="44"/>
        <w:numPr>
          <w:ilvl w:val="2"/>
          <w:numId w:val="3"/>
        </w:numPr>
        <w:spacing w:before="0" w:beforeLines="0" w:after="0" w:afterLines="0"/>
        <w:outlineLvl w:val="9"/>
        <w:rPr>
          <w:rFonts w:ascii="宋体" w:hAnsi="宋体" w:eastAsia="宋体"/>
        </w:rPr>
      </w:pPr>
      <w:r>
        <w:rPr>
          <w:rFonts w:hint="eastAsia" w:ascii="宋体" w:hAnsi="宋体" w:eastAsia="宋体"/>
        </w:rPr>
        <w:t>高通量染色体自动扫描</w:t>
      </w:r>
      <w:r>
        <w:rPr>
          <w:rFonts w:hint="eastAsia" w:ascii="宋体" w:hAnsi="宋体" w:eastAsia="宋体"/>
          <w:lang w:val="en-US" w:eastAsia="zh-CN"/>
        </w:rPr>
        <w:t>分析</w:t>
      </w:r>
      <w:r>
        <w:rPr>
          <w:rFonts w:hint="eastAsia" w:ascii="宋体" w:hAnsi="宋体" w:eastAsia="宋体"/>
        </w:rPr>
        <w:t>系统：用于</w:t>
      </w:r>
      <w:r>
        <w:rPr>
          <w:rFonts w:ascii="宋体" w:hAnsi="宋体" w:eastAsia="宋体"/>
        </w:rPr>
        <w:t>自动中期相寻找</w:t>
      </w:r>
      <w:r>
        <w:rPr>
          <w:rFonts w:hint="eastAsia" w:ascii="宋体" w:hAnsi="宋体" w:eastAsia="宋体"/>
        </w:rPr>
        <w:t>、</w:t>
      </w:r>
      <w:r>
        <w:rPr>
          <w:rFonts w:ascii="宋体" w:hAnsi="宋体" w:eastAsia="宋体"/>
        </w:rPr>
        <w:t>高倍图像采集</w:t>
      </w:r>
      <w:r>
        <w:rPr>
          <w:rFonts w:hint="eastAsia" w:ascii="宋体" w:hAnsi="宋体" w:eastAsia="宋体"/>
        </w:rPr>
        <w:t>和dic自动分析。</w:t>
      </w:r>
    </w:p>
    <w:p w14:paraId="0F406DCA">
      <w:pPr>
        <w:pStyle w:val="44"/>
        <w:numPr>
          <w:ilvl w:val="2"/>
          <w:numId w:val="3"/>
        </w:numPr>
        <w:spacing w:before="0" w:beforeLines="0" w:after="0" w:afterLines="0"/>
        <w:outlineLvl w:val="9"/>
        <w:rPr>
          <w:rFonts w:ascii="宋体" w:hAnsi="宋体" w:eastAsia="宋体"/>
        </w:rPr>
      </w:pPr>
      <w:bookmarkStart w:id="187" w:name="_Toc26605"/>
      <w:bookmarkStart w:id="188" w:name="_Toc24514"/>
      <w:bookmarkStart w:id="189" w:name="_Toc20584"/>
      <w:r>
        <w:rPr>
          <w:rFonts w:hint="eastAsia" w:hAnsi="宋体" w:eastAsia="宋体"/>
        </w:rPr>
        <w:t>自动细胞收获仪：用于收获中期相细胞（有条件的实验室）。</w:t>
      </w:r>
      <w:bookmarkEnd w:id="187"/>
      <w:bookmarkEnd w:id="188"/>
      <w:bookmarkEnd w:id="189"/>
    </w:p>
    <w:p w14:paraId="4E7EEDF5">
      <w:pPr>
        <w:pStyle w:val="44"/>
        <w:numPr>
          <w:ilvl w:val="2"/>
          <w:numId w:val="3"/>
        </w:numPr>
        <w:spacing w:before="0" w:beforeLines="0" w:after="0" w:afterLines="0"/>
        <w:outlineLvl w:val="9"/>
        <w:rPr>
          <w:rFonts w:ascii="宋体" w:hAnsi="宋体" w:eastAsia="宋体"/>
        </w:rPr>
      </w:pPr>
      <w:bookmarkStart w:id="190" w:name="_Toc23511"/>
      <w:bookmarkStart w:id="191" w:name="_Toc30248"/>
      <w:bookmarkStart w:id="192" w:name="_Toc29072"/>
      <w:r>
        <w:rPr>
          <w:rFonts w:hint="eastAsia" w:ascii="宋体" w:hAnsi="宋体" w:eastAsia="宋体"/>
        </w:rPr>
        <w:t>自动制片机：用于染色体标本的制备（有条件的实验室）。</w:t>
      </w:r>
      <w:bookmarkEnd w:id="190"/>
      <w:bookmarkEnd w:id="191"/>
      <w:bookmarkEnd w:id="192"/>
    </w:p>
    <w:p w14:paraId="39AE74FB">
      <w:pPr>
        <w:pStyle w:val="44"/>
        <w:numPr>
          <w:ilvl w:val="2"/>
          <w:numId w:val="3"/>
        </w:numPr>
        <w:spacing w:before="0" w:beforeLines="0" w:after="0" w:afterLines="0"/>
        <w:outlineLvl w:val="9"/>
      </w:pPr>
      <w:bookmarkStart w:id="193" w:name="_Toc32676"/>
      <w:bookmarkStart w:id="194" w:name="_Toc16141"/>
      <w:bookmarkStart w:id="195" w:name="_Toc26550"/>
      <w:r>
        <w:rPr>
          <w:rFonts w:hint="eastAsia" w:ascii="宋体" w:hAnsi="宋体" w:eastAsia="宋体"/>
        </w:rPr>
        <w:t>自动染片机：用于染色体标本的染色（有条件的实验室）。</w:t>
      </w:r>
      <w:bookmarkEnd w:id="193"/>
      <w:bookmarkEnd w:id="194"/>
      <w:bookmarkEnd w:id="195"/>
    </w:p>
    <w:p w14:paraId="534C9160">
      <w:pPr>
        <w:pStyle w:val="43"/>
        <w:numPr>
          <w:ilvl w:val="1"/>
          <w:numId w:val="3"/>
        </w:numPr>
        <w:spacing w:before="240" w:after="240"/>
        <w:outlineLvl w:val="9"/>
      </w:pPr>
      <w:bookmarkStart w:id="196" w:name="_Toc23353"/>
      <w:bookmarkStart w:id="197" w:name="_Toc31144"/>
      <w:bookmarkStart w:id="198" w:name="_Toc22995"/>
      <w:r>
        <w:rPr>
          <w:rFonts w:hint="eastAsia"/>
        </w:rPr>
        <w:t>主要试剂的配制</w:t>
      </w:r>
      <w:bookmarkEnd w:id="196"/>
      <w:bookmarkEnd w:id="197"/>
      <w:bookmarkEnd w:id="198"/>
    </w:p>
    <w:p w14:paraId="15781B98">
      <w:pPr>
        <w:pStyle w:val="44"/>
        <w:numPr>
          <w:ilvl w:val="2"/>
          <w:numId w:val="3"/>
        </w:numPr>
        <w:spacing w:before="0" w:beforeLines="0" w:after="0" w:afterLines="0"/>
        <w:outlineLvl w:val="9"/>
        <w:rPr>
          <w:rFonts w:ascii="宋体" w:hAnsi="宋体" w:eastAsia="宋体"/>
        </w:rPr>
      </w:pPr>
      <w:r>
        <w:rPr>
          <w:rFonts w:hint="eastAsia" w:ascii="宋体" w:hAnsi="宋体" w:eastAsia="宋体"/>
        </w:rPr>
        <w:t>RPMI-1640培养基、低渗液、固定液、磷酸盐缓冲液和吉姆萨染液的配制参照</w:t>
      </w:r>
      <w:r>
        <w:rPr>
          <w:rFonts w:ascii="宋体" w:hAnsi="宋体" w:eastAsia="宋体"/>
        </w:rPr>
        <w:t>GBZ/T 248</w:t>
      </w:r>
      <w:r>
        <w:rPr>
          <w:rFonts w:hint="eastAsia" w:ascii="宋体" w:hAnsi="宋体" w:eastAsia="宋体"/>
        </w:rPr>
        <w:t>的规定。</w:t>
      </w:r>
    </w:p>
    <w:p w14:paraId="6920CD9D">
      <w:pPr>
        <w:jc w:val="center"/>
        <w:rPr>
          <w:rFonts w:ascii="黑体" w:hAnsi="黑体" w:eastAsia="黑体" w:cs="Times New Roman"/>
          <w:kern w:val="0"/>
          <w:szCs w:val="21"/>
        </w:rPr>
      </w:pPr>
    </w:p>
    <w:p w14:paraId="076C1A1D">
      <w:pPr>
        <w:jc w:val="center"/>
        <w:rPr>
          <w:rFonts w:ascii="黑体" w:hAnsi="黑体" w:eastAsia="黑体" w:cs="Times New Roman"/>
          <w:kern w:val="0"/>
          <w:szCs w:val="21"/>
        </w:rPr>
      </w:pPr>
    </w:p>
    <w:p w14:paraId="0830E43C">
      <w:pPr>
        <w:widowControl/>
        <w:jc w:val="left"/>
        <w:rPr>
          <w:rFonts w:ascii="黑体" w:hAnsi="黑体" w:eastAsia="黑体" w:cs="Times New Roman"/>
          <w:kern w:val="0"/>
          <w:szCs w:val="21"/>
        </w:rPr>
      </w:pPr>
      <w:r>
        <w:rPr>
          <w:rFonts w:ascii="黑体" w:hAnsi="黑体" w:eastAsia="黑体" w:cs="Times New Roman"/>
          <w:kern w:val="0"/>
          <w:szCs w:val="21"/>
        </w:rPr>
        <w:br w:type="page"/>
      </w:r>
    </w:p>
    <w:p w14:paraId="7A70EDDE">
      <w:pPr>
        <w:widowControl/>
        <w:jc w:val="left"/>
        <w:rPr>
          <w:rFonts w:ascii="黑体" w:hAnsi="黑体" w:eastAsia="黑体" w:cs="Times New Roman"/>
          <w:kern w:val="0"/>
          <w:szCs w:val="21"/>
        </w:rPr>
      </w:pPr>
    </w:p>
    <w:p w14:paraId="5042B8B0">
      <w:pPr>
        <w:pStyle w:val="42"/>
        <w:spacing w:before="60" w:after="120"/>
      </w:pPr>
      <w:bookmarkStart w:id="199" w:name="_Toc32467"/>
      <w:bookmarkStart w:id="200" w:name="_Toc23565"/>
      <w:bookmarkStart w:id="201" w:name="_Toc4432"/>
      <w:r>
        <w:br w:type="textWrapping"/>
      </w:r>
      <w:bookmarkStart w:id="202" w:name="_Toc87788485"/>
      <w:bookmarkStart w:id="203" w:name="_Toc87375130"/>
      <w:bookmarkStart w:id="204" w:name="_Toc86162218"/>
      <w:bookmarkStart w:id="205" w:name="_Toc86162235"/>
      <w:r>
        <w:rPr>
          <w:rFonts w:hint="eastAsia"/>
        </w:rPr>
        <w:t>（资料性）</w:t>
      </w:r>
      <w:r>
        <w:br w:type="textWrapping"/>
      </w:r>
      <w:r>
        <w:rPr>
          <w:rFonts w:hint="eastAsia"/>
        </w:rPr>
        <w:t>生物剂量估算检测报告单</w:t>
      </w:r>
      <w:bookmarkEnd w:id="199"/>
      <w:bookmarkEnd w:id="200"/>
      <w:bookmarkEnd w:id="201"/>
      <w:bookmarkEnd w:id="202"/>
      <w:bookmarkEnd w:id="203"/>
      <w:bookmarkEnd w:id="204"/>
      <w:bookmarkEnd w:id="205"/>
    </w:p>
    <w:p w14:paraId="53398854">
      <w:pPr>
        <w:pStyle w:val="17"/>
        <w:tabs>
          <w:tab w:val="center" w:pos="4201"/>
          <w:tab w:val="right" w:leader="dot" w:pos="9298"/>
        </w:tabs>
        <w:ind w:firstLine="420"/>
      </w:pPr>
    </w:p>
    <w:p w14:paraId="739687F7">
      <w:pPr>
        <w:pStyle w:val="45"/>
        <w:numPr>
          <w:ilvl w:val="1"/>
          <w:numId w:val="0"/>
        </w:numPr>
        <w:spacing w:before="120" w:after="120"/>
        <w:ind w:left="420"/>
      </w:pPr>
      <w:r>
        <w:rPr>
          <w:rFonts w:hint="eastAsia"/>
        </w:rPr>
        <w:t>B.1生物剂量估算检测报告单（样式）</w:t>
      </w:r>
    </w:p>
    <w:tbl>
      <w:tblPr>
        <w:tblStyle w:val="10"/>
        <w:tblW w:w="89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9"/>
        <w:gridCol w:w="1157"/>
        <w:gridCol w:w="672"/>
        <w:gridCol w:w="457"/>
        <w:gridCol w:w="171"/>
        <w:gridCol w:w="1200"/>
        <w:gridCol w:w="615"/>
        <w:gridCol w:w="1329"/>
        <w:gridCol w:w="2320"/>
      </w:tblGrid>
      <w:tr w14:paraId="214AA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09" w:type="dxa"/>
            <w:shd w:val="clear" w:color="auto" w:fill="auto"/>
          </w:tcPr>
          <w:p w14:paraId="4BF40FB3">
            <w:pPr>
              <w:pStyle w:val="17"/>
              <w:tabs>
                <w:tab w:val="center" w:pos="4201"/>
                <w:tab w:val="right" w:leader="dot" w:pos="9298"/>
              </w:tabs>
              <w:ind w:firstLine="0" w:firstLineChars="0"/>
              <w:rPr>
                <w:sz w:val="18"/>
                <w:szCs w:val="18"/>
              </w:rPr>
            </w:pPr>
            <w:r>
              <w:rPr>
                <w:rFonts w:hint="eastAsia"/>
                <w:sz w:val="18"/>
                <w:szCs w:val="18"/>
              </w:rPr>
              <w:t>姓名</w:t>
            </w:r>
          </w:p>
        </w:tc>
        <w:tc>
          <w:tcPr>
            <w:tcW w:w="1157" w:type="dxa"/>
            <w:shd w:val="clear" w:color="auto" w:fill="auto"/>
          </w:tcPr>
          <w:p w14:paraId="365CAEE4">
            <w:pPr>
              <w:pStyle w:val="17"/>
              <w:tabs>
                <w:tab w:val="center" w:pos="4201"/>
                <w:tab w:val="right" w:leader="dot" w:pos="9298"/>
              </w:tabs>
              <w:ind w:firstLine="0" w:firstLineChars="0"/>
              <w:rPr>
                <w:sz w:val="18"/>
                <w:szCs w:val="18"/>
              </w:rPr>
            </w:pPr>
          </w:p>
        </w:tc>
        <w:tc>
          <w:tcPr>
            <w:tcW w:w="672" w:type="dxa"/>
            <w:shd w:val="clear" w:color="auto" w:fill="auto"/>
          </w:tcPr>
          <w:p w14:paraId="61C9E644">
            <w:pPr>
              <w:pStyle w:val="17"/>
              <w:tabs>
                <w:tab w:val="center" w:pos="4201"/>
                <w:tab w:val="right" w:leader="dot" w:pos="9298"/>
              </w:tabs>
              <w:ind w:firstLine="0" w:firstLineChars="0"/>
              <w:rPr>
                <w:sz w:val="18"/>
                <w:szCs w:val="18"/>
              </w:rPr>
            </w:pPr>
            <w:r>
              <w:rPr>
                <w:rFonts w:hint="eastAsia"/>
                <w:sz w:val="18"/>
                <w:szCs w:val="18"/>
              </w:rPr>
              <w:t>性别</w:t>
            </w:r>
          </w:p>
        </w:tc>
        <w:tc>
          <w:tcPr>
            <w:tcW w:w="628" w:type="dxa"/>
            <w:gridSpan w:val="2"/>
            <w:shd w:val="clear" w:color="auto" w:fill="auto"/>
          </w:tcPr>
          <w:p w14:paraId="31C66545">
            <w:pPr>
              <w:pStyle w:val="17"/>
              <w:tabs>
                <w:tab w:val="center" w:pos="4201"/>
                <w:tab w:val="right" w:leader="dot" w:pos="9298"/>
              </w:tabs>
              <w:ind w:firstLine="0" w:firstLineChars="0"/>
              <w:rPr>
                <w:sz w:val="18"/>
                <w:szCs w:val="18"/>
              </w:rPr>
            </w:pPr>
          </w:p>
        </w:tc>
        <w:tc>
          <w:tcPr>
            <w:tcW w:w="1200" w:type="dxa"/>
            <w:shd w:val="clear" w:color="auto" w:fill="auto"/>
          </w:tcPr>
          <w:p w14:paraId="7AC885F4">
            <w:pPr>
              <w:pStyle w:val="17"/>
              <w:tabs>
                <w:tab w:val="center" w:pos="4201"/>
                <w:tab w:val="right" w:leader="dot" w:pos="9298"/>
              </w:tabs>
              <w:ind w:firstLine="0" w:firstLineChars="0"/>
              <w:rPr>
                <w:rFonts w:eastAsiaTheme="minorEastAsia"/>
                <w:sz w:val="18"/>
                <w:szCs w:val="18"/>
              </w:rPr>
            </w:pPr>
            <w:r>
              <w:rPr>
                <w:rFonts w:hint="eastAsia"/>
                <w:sz w:val="18"/>
                <w:szCs w:val="18"/>
              </w:rPr>
              <w:t>出生日期</w:t>
            </w:r>
          </w:p>
        </w:tc>
        <w:tc>
          <w:tcPr>
            <w:tcW w:w="4264" w:type="dxa"/>
            <w:gridSpan w:val="3"/>
            <w:shd w:val="clear" w:color="auto" w:fill="auto"/>
          </w:tcPr>
          <w:p w14:paraId="27C2DB43">
            <w:pPr>
              <w:pStyle w:val="17"/>
              <w:tabs>
                <w:tab w:val="center" w:pos="4201"/>
                <w:tab w:val="right" w:leader="dot" w:pos="9298"/>
              </w:tabs>
              <w:ind w:firstLine="0" w:firstLineChars="0"/>
              <w:jc w:val="center"/>
              <w:rPr>
                <w:sz w:val="18"/>
                <w:szCs w:val="18"/>
              </w:rPr>
            </w:pPr>
            <w:r>
              <w:rPr>
                <w:rFonts w:hint="eastAsia"/>
                <w:sz w:val="18"/>
                <w:szCs w:val="18"/>
              </w:rPr>
              <w:t>年    月    日</w:t>
            </w:r>
          </w:p>
        </w:tc>
      </w:tr>
      <w:tr w14:paraId="3F5542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09" w:type="dxa"/>
            <w:shd w:val="clear" w:color="auto" w:fill="auto"/>
          </w:tcPr>
          <w:p w14:paraId="45CCD438">
            <w:pPr>
              <w:pStyle w:val="17"/>
              <w:tabs>
                <w:tab w:val="center" w:pos="4201"/>
                <w:tab w:val="right" w:leader="dot" w:pos="9298"/>
              </w:tabs>
              <w:ind w:firstLine="0" w:firstLineChars="0"/>
              <w:rPr>
                <w:sz w:val="18"/>
                <w:szCs w:val="18"/>
              </w:rPr>
            </w:pPr>
            <w:r>
              <w:rPr>
                <w:rFonts w:hint="eastAsia"/>
                <w:sz w:val="18"/>
                <w:szCs w:val="18"/>
              </w:rPr>
              <w:t>编号</w:t>
            </w:r>
          </w:p>
        </w:tc>
        <w:tc>
          <w:tcPr>
            <w:tcW w:w="1157" w:type="dxa"/>
            <w:shd w:val="clear" w:color="auto" w:fill="auto"/>
          </w:tcPr>
          <w:p w14:paraId="223474EC">
            <w:pPr>
              <w:pStyle w:val="17"/>
              <w:tabs>
                <w:tab w:val="center" w:pos="4201"/>
                <w:tab w:val="right" w:leader="dot" w:pos="9298"/>
              </w:tabs>
              <w:ind w:firstLine="0" w:firstLineChars="0"/>
              <w:jc w:val="left"/>
              <w:rPr>
                <w:rFonts w:eastAsiaTheme="minorEastAsia"/>
                <w:sz w:val="18"/>
                <w:szCs w:val="18"/>
              </w:rPr>
            </w:pPr>
            <w:r>
              <w:rPr>
                <w:rFonts w:hint="eastAsia"/>
                <w:sz w:val="18"/>
                <w:szCs w:val="18"/>
              </w:rPr>
              <w:t xml:space="preserve">     </w:t>
            </w:r>
          </w:p>
        </w:tc>
        <w:tc>
          <w:tcPr>
            <w:tcW w:w="1129" w:type="dxa"/>
            <w:gridSpan w:val="2"/>
            <w:shd w:val="clear" w:color="auto" w:fill="auto"/>
          </w:tcPr>
          <w:p w14:paraId="60DE8EE6">
            <w:pPr>
              <w:pStyle w:val="17"/>
              <w:tabs>
                <w:tab w:val="center" w:pos="4201"/>
                <w:tab w:val="right" w:leader="dot" w:pos="9298"/>
              </w:tabs>
              <w:ind w:firstLine="0" w:firstLineChars="0"/>
              <w:rPr>
                <w:rFonts w:eastAsiaTheme="minorEastAsia"/>
                <w:sz w:val="18"/>
                <w:szCs w:val="18"/>
              </w:rPr>
            </w:pPr>
            <w:r>
              <w:rPr>
                <w:rFonts w:hint="eastAsia"/>
                <w:sz w:val="18"/>
                <w:szCs w:val="18"/>
              </w:rPr>
              <w:t>受照射日期</w:t>
            </w:r>
          </w:p>
        </w:tc>
        <w:tc>
          <w:tcPr>
            <w:tcW w:w="1986" w:type="dxa"/>
            <w:gridSpan w:val="3"/>
            <w:shd w:val="clear" w:color="auto" w:fill="auto"/>
          </w:tcPr>
          <w:p w14:paraId="52F25E8A">
            <w:pPr>
              <w:pStyle w:val="17"/>
              <w:tabs>
                <w:tab w:val="center" w:pos="4201"/>
                <w:tab w:val="right" w:leader="dot" w:pos="9298"/>
              </w:tabs>
              <w:ind w:firstLine="0" w:firstLineChars="0"/>
              <w:rPr>
                <w:rFonts w:eastAsiaTheme="minorEastAsia"/>
                <w:sz w:val="18"/>
                <w:szCs w:val="18"/>
              </w:rPr>
            </w:pPr>
            <w:r>
              <w:rPr>
                <w:rFonts w:hint="eastAsia"/>
                <w:sz w:val="18"/>
                <w:szCs w:val="18"/>
              </w:rPr>
              <w:t xml:space="preserve">     年   月   日</w:t>
            </w:r>
          </w:p>
        </w:tc>
        <w:tc>
          <w:tcPr>
            <w:tcW w:w="1329" w:type="dxa"/>
            <w:shd w:val="clear" w:color="auto" w:fill="auto"/>
          </w:tcPr>
          <w:p w14:paraId="1766CA79">
            <w:pPr>
              <w:pStyle w:val="17"/>
              <w:tabs>
                <w:tab w:val="center" w:pos="4201"/>
                <w:tab w:val="right" w:leader="dot" w:pos="9298"/>
              </w:tabs>
              <w:ind w:firstLine="0" w:firstLineChars="0"/>
              <w:rPr>
                <w:rFonts w:eastAsiaTheme="minorEastAsia"/>
                <w:sz w:val="18"/>
                <w:szCs w:val="18"/>
              </w:rPr>
            </w:pPr>
            <w:r>
              <w:rPr>
                <w:rFonts w:hint="eastAsia"/>
                <w:sz w:val="18"/>
                <w:szCs w:val="18"/>
              </w:rPr>
              <w:t>采集血样日期</w:t>
            </w:r>
          </w:p>
        </w:tc>
        <w:tc>
          <w:tcPr>
            <w:tcW w:w="2320" w:type="dxa"/>
            <w:shd w:val="clear" w:color="auto" w:fill="auto"/>
          </w:tcPr>
          <w:p w14:paraId="6C5E5CC3">
            <w:pPr>
              <w:pStyle w:val="17"/>
              <w:tabs>
                <w:tab w:val="center" w:pos="4201"/>
                <w:tab w:val="right" w:leader="dot" w:pos="9298"/>
              </w:tabs>
              <w:ind w:firstLine="0" w:firstLineChars="0"/>
              <w:jc w:val="left"/>
              <w:rPr>
                <w:sz w:val="18"/>
                <w:szCs w:val="18"/>
              </w:rPr>
            </w:pPr>
            <w:r>
              <w:rPr>
                <w:rFonts w:hint="eastAsia"/>
                <w:sz w:val="18"/>
                <w:szCs w:val="18"/>
              </w:rPr>
              <w:t xml:space="preserve">     年   月   日</w:t>
            </w:r>
          </w:p>
        </w:tc>
      </w:tr>
      <w:tr w14:paraId="0B63D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09" w:type="dxa"/>
            <w:shd w:val="clear" w:color="auto" w:fill="auto"/>
          </w:tcPr>
          <w:p w14:paraId="49D02631">
            <w:pPr>
              <w:pStyle w:val="17"/>
              <w:tabs>
                <w:tab w:val="center" w:pos="4201"/>
                <w:tab w:val="right" w:leader="dot" w:pos="9298"/>
              </w:tabs>
              <w:ind w:firstLine="0" w:firstLineChars="0"/>
              <w:rPr>
                <w:rFonts w:eastAsiaTheme="minorEastAsia"/>
                <w:sz w:val="18"/>
                <w:szCs w:val="18"/>
              </w:rPr>
            </w:pPr>
            <w:r>
              <w:rPr>
                <w:rFonts w:hint="eastAsia"/>
                <w:sz w:val="18"/>
                <w:szCs w:val="18"/>
              </w:rPr>
              <w:t>射线类型</w:t>
            </w:r>
          </w:p>
        </w:tc>
        <w:tc>
          <w:tcPr>
            <w:tcW w:w="7921" w:type="dxa"/>
            <w:gridSpan w:val="8"/>
            <w:shd w:val="clear" w:color="auto" w:fill="auto"/>
          </w:tcPr>
          <w:p w14:paraId="03F827E9">
            <w:pPr>
              <w:pStyle w:val="17"/>
              <w:tabs>
                <w:tab w:val="center" w:pos="4201"/>
                <w:tab w:val="right" w:leader="dot" w:pos="9298"/>
              </w:tabs>
              <w:ind w:firstLine="0" w:firstLineChars="0"/>
              <w:jc w:val="left"/>
              <w:rPr>
                <w:sz w:val="18"/>
                <w:szCs w:val="18"/>
              </w:rPr>
            </w:pPr>
            <w:r>
              <w:rPr>
                <w:rFonts w:hint="eastAsia" w:hAnsi="宋体"/>
                <w:sz w:val="18"/>
                <w:szCs w:val="18"/>
              </w:rPr>
              <w:t xml:space="preserve">□ X射线（     ）  □ </w:t>
            </w:r>
            <w:r>
              <w:rPr>
                <w:rFonts w:ascii="Times New Roman"/>
                <w:sz w:val="18"/>
                <w:szCs w:val="18"/>
              </w:rPr>
              <w:t>γ</w:t>
            </w:r>
            <w:r>
              <w:rPr>
                <w:rFonts w:hint="eastAsia" w:hAnsi="宋体"/>
                <w:sz w:val="18"/>
                <w:szCs w:val="18"/>
              </w:rPr>
              <w:t xml:space="preserve">射线（      ）     □ </w:t>
            </w:r>
            <w:r>
              <w:rPr>
                <w:rFonts w:hint="eastAsia" w:asciiTheme="minorEastAsia" w:hAnsiTheme="minorEastAsia" w:eastAsiaTheme="minorEastAsia" w:cstheme="minorEastAsia"/>
                <w:sz w:val="18"/>
                <w:szCs w:val="18"/>
              </w:rPr>
              <w:t>α</w:t>
            </w:r>
            <w:r>
              <w:rPr>
                <w:rFonts w:hint="eastAsia" w:hAnsi="宋体"/>
                <w:sz w:val="18"/>
                <w:szCs w:val="18"/>
              </w:rPr>
              <w:t xml:space="preserve">射线（      ）    □ </w:t>
            </w:r>
            <w:r>
              <w:rPr>
                <w:rFonts w:hint="eastAsia" w:ascii="Arial" w:hAnsi="Arial" w:cs="Arial"/>
                <w:sz w:val="18"/>
                <w:szCs w:val="18"/>
              </w:rPr>
              <w:t>中子（       ）</w:t>
            </w:r>
            <w:r>
              <w:rPr>
                <w:rFonts w:hint="eastAsia" w:hAnsi="宋体"/>
                <w:sz w:val="18"/>
                <w:szCs w:val="18"/>
              </w:rPr>
              <w:t xml:space="preserve">  </w:t>
            </w:r>
          </w:p>
        </w:tc>
      </w:tr>
      <w:tr w14:paraId="0CB0A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930" w:type="dxa"/>
            <w:gridSpan w:val="9"/>
            <w:shd w:val="clear" w:color="auto" w:fill="auto"/>
          </w:tcPr>
          <w:p w14:paraId="63411292">
            <w:pPr>
              <w:pStyle w:val="17"/>
              <w:tabs>
                <w:tab w:val="center" w:pos="4201"/>
                <w:tab w:val="right" w:leader="dot" w:pos="9298"/>
              </w:tabs>
              <w:ind w:firstLine="0" w:firstLineChars="0"/>
              <w:rPr>
                <w:rFonts w:eastAsiaTheme="minorEastAsia"/>
                <w:sz w:val="18"/>
                <w:szCs w:val="18"/>
              </w:rPr>
            </w:pPr>
            <w:r>
              <w:rPr>
                <w:rFonts w:hint="eastAsia"/>
                <w:sz w:val="18"/>
                <w:szCs w:val="18"/>
              </w:rPr>
              <w:t>检测方法和主要仪器型号：</w:t>
            </w:r>
          </w:p>
        </w:tc>
      </w:tr>
      <w:tr w14:paraId="18B0E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930" w:type="dxa"/>
            <w:gridSpan w:val="9"/>
            <w:shd w:val="clear" w:color="auto" w:fill="auto"/>
          </w:tcPr>
          <w:p w14:paraId="56B311D2">
            <w:pPr>
              <w:pStyle w:val="17"/>
              <w:tabs>
                <w:tab w:val="center" w:pos="4201"/>
                <w:tab w:val="right" w:leader="dot" w:pos="9298"/>
              </w:tabs>
              <w:ind w:firstLine="0" w:firstLineChars="0"/>
              <w:rPr>
                <w:sz w:val="18"/>
                <w:szCs w:val="18"/>
              </w:rPr>
            </w:pPr>
            <w:r>
              <w:rPr>
                <w:rFonts w:hint="eastAsia"/>
                <w:sz w:val="18"/>
                <w:szCs w:val="18"/>
              </w:rPr>
              <w:t>估算剂量所用的方程式和剂量率：</w:t>
            </w:r>
          </w:p>
        </w:tc>
      </w:tr>
      <w:tr w14:paraId="65AD7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8930" w:type="dxa"/>
            <w:gridSpan w:val="9"/>
            <w:shd w:val="clear" w:color="auto" w:fill="auto"/>
          </w:tcPr>
          <w:p w14:paraId="793D3872">
            <w:pPr>
              <w:pStyle w:val="17"/>
              <w:tabs>
                <w:tab w:val="center" w:pos="4201"/>
                <w:tab w:val="right" w:leader="dot" w:pos="9298"/>
              </w:tabs>
              <w:ind w:firstLine="0" w:firstLineChars="0"/>
              <w:rPr>
                <w:sz w:val="18"/>
                <w:szCs w:val="18"/>
              </w:rPr>
            </w:pPr>
          </w:p>
          <w:p w14:paraId="165BAA15">
            <w:pPr>
              <w:pStyle w:val="17"/>
              <w:tabs>
                <w:tab w:val="center" w:pos="4201"/>
                <w:tab w:val="right" w:leader="dot" w:pos="9298"/>
              </w:tabs>
              <w:ind w:firstLine="0" w:firstLineChars="0"/>
              <w:rPr>
                <w:sz w:val="18"/>
                <w:szCs w:val="18"/>
              </w:rPr>
            </w:pPr>
            <w:r>
              <w:rPr>
                <w:rFonts w:hint="eastAsia"/>
                <w:sz w:val="18"/>
                <w:szCs w:val="18"/>
              </w:rPr>
              <w:t>自动检测的dic结果</w:t>
            </w:r>
          </w:p>
          <w:p w14:paraId="398B0D34">
            <w:pPr>
              <w:pStyle w:val="17"/>
              <w:tabs>
                <w:tab w:val="center" w:pos="4201"/>
                <w:tab w:val="right" w:leader="dot" w:pos="9298"/>
              </w:tabs>
              <w:ind w:firstLine="0" w:firstLineChars="0"/>
              <w:rPr>
                <w:sz w:val="18"/>
                <w:szCs w:val="18"/>
              </w:rPr>
            </w:pPr>
            <w:r>
              <w:rPr>
                <w:rFonts w:hint="eastAsia"/>
                <w:sz w:val="18"/>
                <w:szCs w:val="18"/>
              </w:rPr>
              <w:t xml:space="preserve">          dic数：</w:t>
            </w:r>
            <w:r>
              <w:rPr>
                <w:sz w:val="18"/>
                <w:szCs w:val="18"/>
                <w:u w:val="single"/>
              </w:rPr>
              <w:t xml:space="preserve">           </w:t>
            </w:r>
            <w:r>
              <w:rPr>
                <w:rFonts w:hint="eastAsia"/>
                <w:sz w:val="18"/>
                <w:szCs w:val="18"/>
              </w:rPr>
              <w:t>个，分析细胞数</w:t>
            </w:r>
            <w:r>
              <w:rPr>
                <w:sz w:val="18"/>
                <w:szCs w:val="18"/>
                <w:u w:val="single"/>
              </w:rPr>
              <w:t xml:space="preserve">           </w:t>
            </w:r>
            <w:r>
              <w:rPr>
                <w:rFonts w:hint="eastAsia"/>
                <w:sz w:val="18"/>
                <w:szCs w:val="18"/>
              </w:rPr>
              <w:t>个， 每细胞dic数：</w:t>
            </w:r>
            <w:r>
              <w:rPr>
                <w:sz w:val="18"/>
                <w:szCs w:val="18"/>
                <w:u w:val="single"/>
              </w:rPr>
              <w:t xml:space="preserve">           </w:t>
            </w:r>
            <w:r>
              <w:rPr>
                <w:rFonts w:hint="eastAsia"/>
                <w:sz w:val="18"/>
                <w:szCs w:val="18"/>
              </w:rPr>
              <w:t>个。</w:t>
            </w:r>
          </w:p>
          <w:p w14:paraId="6BBB10FD">
            <w:pPr>
              <w:pStyle w:val="17"/>
              <w:tabs>
                <w:tab w:val="center" w:pos="4201"/>
                <w:tab w:val="right" w:leader="dot" w:pos="9298"/>
              </w:tabs>
              <w:ind w:firstLine="0" w:firstLineChars="0"/>
              <w:rPr>
                <w:sz w:val="18"/>
                <w:szCs w:val="18"/>
              </w:rPr>
            </w:pPr>
          </w:p>
        </w:tc>
      </w:tr>
      <w:tr w14:paraId="10DE5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2" w:hRule="atLeast"/>
          <w:jc w:val="center"/>
        </w:trPr>
        <w:tc>
          <w:tcPr>
            <w:tcW w:w="8930" w:type="dxa"/>
            <w:gridSpan w:val="9"/>
            <w:shd w:val="clear" w:color="auto" w:fill="auto"/>
          </w:tcPr>
          <w:p w14:paraId="50FF75D5">
            <w:pPr>
              <w:pStyle w:val="17"/>
              <w:tabs>
                <w:tab w:val="center" w:pos="4201"/>
                <w:tab w:val="right" w:leader="dot" w:pos="9298"/>
              </w:tabs>
              <w:ind w:firstLine="0" w:firstLineChars="0"/>
              <w:rPr>
                <w:sz w:val="18"/>
                <w:szCs w:val="18"/>
              </w:rPr>
            </w:pPr>
          </w:p>
          <w:p w14:paraId="57F00416">
            <w:pPr>
              <w:pStyle w:val="17"/>
              <w:tabs>
                <w:tab w:val="center" w:pos="4201"/>
                <w:tab w:val="right" w:leader="dot" w:pos="9298"/>
              </w:tabs>
              <w:ind w:firstLine="0" w:firstLineChars="0"/>
              <w:rPr>
                <w:sz w:val="18"/>
                <w:szCs w:val="18"/>
              </w:rPr>
            </w:pPr>
            <w:r>
              <w:rPr>
                <w:rFonts w:hint="eastAsia"/>
                <w:sz w:val="18"/>
                <w:szCs w:val="18"/>
              </w:rPr>
              <w:t>剂量估算结果</w:t>
            </w:r>
          </w:p>
          <w:p w14:paraId="526E5457">
            <w:pPr>
              <w:pStyle w:val="17"/>
              <w:tabs>
                <w:tab w:val="center" w:pos="4201"/>
                <w:tab w:val="right" w:leader="dot" w:pos="9298"/>
              </w:tabs>
              <w:ind w:firstLine="360" w:firstLineChars="0"/>
              <w:rPr>
                <w:sz w:val="18"/>
                <w:szCs w:val="18"/>
              </w:rPr>
            </w:pPr>
            <w:r>
              <w:rPr>
                <w:rFonts w:hint="eastAsia"/>
                <w:sz w:val="18"/>
                <w:szCs w:val="18"/>
              </w:rPr>
              <w:t>平均剂量：：</w:t>
            </w:r>
            <w:r>
              <w:rPr>
                <w:sz w:val="18"/>
                <w:szCs w:val="18"/>
                <w:u w:val="single"/>
              </w:rPr>
              <w:t xml:space="preserve">                    </w:t>
            </w:r>
            <w:r>
              <w:rPr>
                <w:rFonts w:hint="eastAsia"/>
                <w:sz w:val="18"/>
                <w:szCs w:val="18"/>
                <w:u w:val="single"/>
              </w:rPr>
              <w:t xml:space="preserve"> </w:t>
            </w:r>
            <w:r>
              <w:rPr>
                <w:rFonts w:hint="eastAsia"/>
                <w:sz w:val="18"/>
                <w:szCs w:val="18"/>
              </w:rPr>
              <w:t>Gy, 95%可信区间：</w:t>
            </w:r>
            <w:r>
              <w:rPr>
                <w:sz w:val="18"/>
                <w:szCs w:val="18"/>
                <w:u w:val="single"/>
              </w:rPr>
              <w:t xml:space="preserve">     </w:t>
            </w:r>
            <w:r>
              <w:rPr>
                <w:rFonts w:hint="eastAsia"/>
                <w:sz w:val="18"/>
                <w:szCs w:val="18"/>
                <w:u w:val="single"/>
              </w:rPr>
              <w:t xml:space="preserve"> </w:t>
            </w:r>
            <w:r>
              <w:rPr>
                <w:sz w:val="18"/>
                <w:szCs w:val="18"/>
                <w:u w:val="single"/>
              </w:rPr>
              <w:t xml:space="preserve">          </w:t>
            </w:r>
            <w:r>
              <w:rPr>
                <w:rFonts w:hint="eastAsia"/>
                <w:sz w:val="18"/>
                <w:szCs w:val="18"/>
                <w:u w:val="single"/>
              </w:rPr>
              <w:t xml:space="preserve">    </w:t>
            </w:r>
            <w:r>
              <w:rPr>
                <w:sz w:val="18"/>
                <w:szCs w:val="18"/>
                <w:u w:val="single"/>
              </w:rPr>
              <w:t xml:space="preserve">   </w:t>
            </w:r>
            <w:r>
              <w:rPr>
                <w:rFonts w:hint="eastAsia"/>
                <w:sz w:val="18"/>
                <w:szCs w:val="18"/>
              </w:rPr>
              <w:t xml:space="preserve">Gy。         </w:t>
            </w:r>
          </w:p>
          <w:p w14:paraId="1A17BEB1">
            <w:pPr>
              <w:pStyle w:val="17"/>
              <w:tabs>
                <w:tab w:val="center" w:pos="4201"/>
                <w:tab w:val="right" w:leader="dot" w:pos="9298"/>
              </w:tabs>
              <w:ind w:firstLine="360" w:firstLineChars="0"/>
              <w:rPr>
                <w:rFonts w:eastAsiaTheme="minorEastAsia"/>
                <w:sz w:val="18"/>
                <w:szCs w:val="18"/>
              </w:rPr>
            </w:pPr>
            <w:r>
              <w:rPr>
                <w:rFonts w:hint="eastAsia"/>
                <w:sz w:val="18"/>
                <w:szCs w:val="18"/>
              </w:rPr>
              <w:t xml:space="preserve">                </w:t>
            </w:r>
          </w:p>
        </w:tc>
      </w:tr>
      <w:tr w14:paraId="14DAE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jc w:val="center"/>
        </w:trPr>
        <w:tc>
          <w:tcPr>
            <w:tcW w:w="8930" w:type="dxa"/>
            <w:gridSpan w:val="9"/>
            <w:shd w:val="clear" w:color="auto" w:fill="auto"/>
          </w:tcPr>
          <w:p w14:paraId="42C9C1A3">
            <w:pPr>
              <w:pStyle w:val="17"/>
              <w:tabs>
                <w:tab w:val="center" w:pos="4201"/>
                <w:tab w:val="right" w:leader="dot" w:pos="9298"/>
              </w:tabs>
              <w:ind w:firstLine="360"/>
              <w:rPr>
                <w:sz w:val="18"/>
                <w:szCs w:val="18"/>
              </w:rPr>
            </w:pPr>
          </w:p>
          <w:p w14:paraId="0A97DDCE">
            <w:pPr>
              <w:pStyle w:val="17"/>
              <w:tabs>
                <w:tab w:val="center" w:pos="4201"/>
                <w:tab w:val="right" w:leader="dot" w:pos="9298"/>
              </w:tabs>
              <w:ind w:firstLine="360"/>
              <w:rPr>
                <w:sz w:val="18"/>
                <w:szCs w:val="18"/>
              </w:rPr>
            </w:pPr>
            <w:r>
              <w:rPr>
                <w:rFonts w:hint="eastAsia"/>
                <w:sz w:val="18"/>
                <w:szCs w:val="18"/>
              </w:rPr>
              <w:t>检测单位：</w:t>
            </w:r>
            <w:r>
              <w:rPr>
                <w:sz w:val="18"/>
                <w:szCs w:val="18"/>
                <w:u w:val="single"/>
              </w:rPr>
              <w:t xml:space="preserve">                                                               </w:t>
            </w:r>
          </w:p>
          <w:p w14:paraId="1DE29517">
            <w:pPr>
              <w:pStyle w:val="17"/>
              <w:tabs>
                <w:tab w:val="center" w:pos="4201"/>
                <w:tab w:val="right" w:leader="dot" w:pos="9298"/>
              </w:tabs>
              <w:ind w:firstLine="360"/>
              <w:rPr>
                <w:sz w:val="18"/>
                <w:szCs w:val="18"/>
              </w:rPr>
            </w:pPr>
            <w:r>
              <w:rPr>
                <w:rFonts w:hint="eastAsia"/>
                <w:sz w:val="18"/>
                <w:szCs w:val="18"/>
              </w:rPr>
              <w:t>检测人：</w:t>
            </w:r>
            <w:r>
              <w:rPr>
                <w:sz w:val="18"/>
                <w:szCs w:val="18"/>
                <w:u w:val="single"/>
              </w:rPr>
              <w:t xml:space="preserve">                            </w:t>
            </w:r>
            <w:r>
              <w:rPr>
                <w:rFonts w:hint="eastAsia"/>
                <w:sz w:val="18"/>
                <w:szCs w:val="18"/>
              </w:rPr>
              <w:t xml:space="preserve"> 复核人：</w:t>
            </w:r>
            <w:r>
              <w:rPr>
                <w:sz w:val="18"/>
                <w:szCs w:val="18"/>
                <w:u w:val="single"/>
              </w:rPr>
              <w:t xml:space="preserve">                            </w:t>
            </w:r>
          </w:p>
          <w:p w14:paraId="00830565">
            <w:pPr>
              <w:pStyle w:val="17"/>
              <w:tabs>
                <w:tab w:val="center" w:pos="4201"/>
                <w:tab w:val="right" w:leader="dot" w:pos="9298"/>
              </w:tabs>
              <w:ind w:firstLine="360"/>
              <w:rPr>
                <w:sz w:val="18"/>
                <w:szCs w:val="18"/>
              </w:rPr>
            </w:pPr>
            <w:r>
              <w:rPr>
                <w:rFonts w:hint="eastAsia"/>
                <w:sz w:val="18"/>
                <w:szCs w:val="18"/>
              </w:rPr>
              <w:t>检测日期：</w:t>
            </w:r>
            <w:r>
              <w:rPr>
                <w:sz w:val="18"/>
                <w:szCs w:val="18"/>
              </w:rPr>
              <w:t xml:space="preserve">     </w:t>
            </w:r>
            <w:r>
              <w:rPr>
                <w:rFonts w:hint="eastAsia"/>
                <w:sz w:val="18"/>
                <w:szCs w:val="18"/>
              </w:rPr>
              <w:t>年</w:t>
            </w:r>
            <w:r>
              <w:rPr>
                <w:sz w:val="18"/>
                <w:szCs w:val="18"/>
              </w:rPr>
              <w:t xml:space="preserve">    </w:t>
            </w:r>
            <w:r>
              <w:rPr>
                <w:rFonts w:hint="eastAsia"/>
                <w:sz w:val="18"/>
                <w:szCs w:val="18"/>
              </w:rPr>
              <w:t>月</w:t>
            </w:r>
            <w:r>
              <w:rPr>
                <w:sz w:val="18"/>
                <w:szCs w:val="18"/>
              </w:rPr>
              <w:t xml:space="preserve">    </w:t>
            </w:r>
            <w:r>
              <w:rPr>
                <w:rFonts w:hint="eastAsia"/>
                <w:sz w:val="18"/>
                <w:szCs w:val="18"/>
              </w:rPr>
              <w:t>日</w:t>
            </w:r>
            <w:r>
              <w:rPr>
                <w:sz w:val="18"/>
                <w:szCs w:val="18"/>
              </w:rPr>
              <w:t xml:space="preserve">        </w:t>
            </w:r>
            <w:r>
              <w:rPr>
                <w:rFonts w:hint="eastAsia"/>
                <w:sz w:val="18"/>
                <w:szCs w:val="18"/>
              </w:rPr>
              <w:t>复核日期：</w:t>
            </w:r>
            <w:r>
              <w:rPr>
                <w:sz w:val="18"/>
                <w:szCs w:val="18"/>
              </w:rPr>
              <w:t xml:space="preserve">      </w:t>
            </w:r>
            <w:r>
              <w:rPr>
                <w:rFonts w:hint="eastAsia"/>
                <w:sz w:val="18"/>
                <w:szCs w:val="18"/>
              </w:rPr>
              <w:t>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14:paraId="2D0AD5A5">
            <w:pPr>
              <w:pStyle w:val="17"/>
              <w:tabs>
                <w:tab w:val="center" w:pos="4201"/>
                <w:tab w:val="right" w:leader="dot" w:pos="9298"/>
              </w:tabs>
              <w:ind w:firstLine="0" w:firstLineChars="0"/>
              <w:rPr>
                <w:sz w:val="18"/>
                <w:szCs w:val="18"/>
              </w:rPr>
            </w:pPr>
          </w:p>
        </w:tc>
      </w:tr>
    </w:tbl>
    <w:p w14:paraId="2A79113A">
      <w:pPr>
        <w:pStyle w:val="17"/>
        <w:tabs>
          <w:tab w:val="center" w:pos="4201"/>
          <w:tab w:val="right" w:leader="dot" w:pos="9298"/>
        </w:tabs>
        <w:ind w:firstLine="420"/>
      </w:pPr>
    </w:p>
    <w:p w14:paraId="74A80D5C">
      <w:pPr>
        <w:pStyle w:val="17"/>
        <w:tabs>
          <w:tab w:val="center" w:pos="4201"/>
          <w:tab w:val="right" w:leader="dot" w:pos="9298"/>
        </w:tabs>
        <w:ind w:firstLine="0" w:firstLineChars="0"/>
      </w:pPr>
      <w:r>
        <w:rPr>
          <w:rFonts w:hint="eastAsia"/>
        </w:rPr>
        <w:t>B.</w:t>
      </w:r>
      <w:r>
        <w:rPr>
          <w:rFonts w:hint="eastAsia"/>
          <w:lang w:val="en-US" w:eastAsia="zh-CN"/>
        </w:rPr>
        <w:t xml:space="preserve">2 </w:t>
      </w:r>
      <w:r>
        <w:rPr>
          <w:rFonts w:hint="eastAsia"/>
        </w:rPr>
        <w:t xml:space="preserve">DCScore软件自动分析检出的阳性和假阳性的dic </w:t>
      </w:r>
    </w:p>
    <w:p w14:paraId="26EAB956">
      <w:pPr>
        <w:pStyle w:val="17"/>
        <w:tabs>
          <w:tab w:val="center" w:pos="4201"/>
          <w:tab w:val="right" w:leader="dot" w:pos="9298"/>
        </w:tabs>
        <w:ind w:firstLine="0" w:firstLineChars="0"/>
      </w:pPr>
    </w:p>
    <w:p w14:paraId="6AC05F78">
      <w:pPr>
        <w:pStyle w:val="17"/>
        <w:tabs>
          <w:tab w:val="center" w:pos="4201"/>
          <w:tab w:val="right" w:leader="dot" w:pos="9298"/>
        </w:tabs>
        <w:ind w:firstLine="420"/>
        <w:jc w:val="center"/>
      </w:pPr>
      <w:r>
        <w:rPr>
          <w:rFonts w:hint="eastAsia" w:ascii="Times New Roman" w:hAnsi="Times New Roman" w:eastAsia="宋体" w:cs="Times New Roman"/>
          <w:szCs w:val="21"/>
        </w:rPr>
        <w:drawing>
          <wp:anchor distT="0" distB="0" distL="114300" distR="114300" simplePos="0" relativeHeight="251662336" behindDoc="0" locked="0" layoutInCell="1" allowOverlap="1">
            <wp:simplePos x="0" y="0"/>
            <wp:positionH relativeFrom="margin">
              <wp:posOffset>108585</wp:posOffset>
            </wp:positionH>
            <wp:positionV relativeFrom="margin">
              <wp:posOffset>4627245</wp:posOffset>
            </wp:positionV>
            <wp:extent cx="4907915" cy="1131570"/>
            <wp:effectExtent l="0" t="0" r="14605" b="11430"/>
            <wp:wrapTopAndBottom/>
            <wp:docPr id="8" name="图片 0" descr="2-阳性和常见假阳性d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2-阳性和常见假阳性dic.png"/>
                    <pic:cNvPicPr>
                      <a:picLocks noChangeAspect="1"/>
                    </pic:cNvPicPr>
                  </pic:nvPicPr>
                  <pic:blipFill>
                    <a:blip r:embed="rId15"/>
                    <a:stretch>
                      <a:fillRect/>
                    </a:stretch>
                  </pic:blipFill>
                  <pic:spPr>
                    <a:xfrm>
                      <a:off x="0" y="0"/>
                      <a:ext cx="4907915" cy="1131570"/>
                    </a:xfrm>
                    <a:prstGeom prst="rect">
                      <a:avLst/>
                    </a:prstGeom>
                  </pic:spPr>
                </pic:pic>
              </a:graphicData>
            </a:graphic>
          </wp:anchor>
        </w:drawing>
      </w:r>
      <w:r>
        <w:rPr>
          <w:rFonts w:hint="eastAsia" w:ascii="Times New Roman" w:hAnsi="Times New Roman" w:cs="Times New Roman"/>
          <w:szCs w:val="21"/>
        </w:rPr>
        <w:t>A.阳性dic；B-H假阳性dic</w:t>
      </w:r>
      <w:r>
        <w:rPr>
          <w:rFonts w:hint="eastAsia" w:ascii="Times New Roman" w:cs="Times New Roman"/>
          <w:szCs w:val="21"/>
          <w:lang w:eastAsia="zh-CN"/>
        </w:rPr>
        <w:t>：</w:t>
      </w:r>
      <w:r>
        <w:rPr>
          <w:rFonts w:hint="eastAsia" w:ascii="Times New Roman" w:hAnsi="Times New Roman" w:cs="Times New Roman"/>
          <w:szCs w:val="21"/>
        </w:rPr>
        <w:t>B-D长臂或短臂接触的染色体；E、F.长臂交叉的染色体；G.长臂扭转的染色体；H.单体断裂的染色体</w:t>
      </w:r>
    </w:p>
    <w:p w14:paraId="7073E77B">
      <w:pPr>
        <w:pStyle w:val="17"/>
        <w:tabs>
          <w:tab w:val="center" w:pos="4201"/>
          <w:tab w:val="right" w:leader="dot" w:pos="9298"/>
        </w:tabs>
        <w:ind w:firstLine="420"/>
      </w:pPr>
    </w:p>
    <w:p w14:paraId="3E4980D4">
      <w:pPr>
        <w:pStyle w:val="17"/>
        <w:tabs>
          <w:tab w:val="center" w:pos="4201"/>
          <w:tab w:val="right" w:leader="dot" w:pos="9298"/>
        </w:tabs>
        <w:ind w:firstLine="420"/>
      </w:pPr>
    </w:p>
    <w:p w14:paraId="65C10B08">
      <w:pPr>
        <w:pStyle w:val="17"/>
        <w:tabs>
          <w:tab w:val="center" w:pos="4201"/>
          <w:tab w:val="right" w:leader="dot" w:pos="9298"/>
        </w:tabs>
        <w:ind w:firstLine="420"/>
      </w:pPr>
    </w:p>
    <w:p w14:paraId="389472EB">
      <w:pPr>
        <w:pStyle w:val="17"/>
        <w:tabs>
          <w:tab w:val="center" w:pos="4201"/>
          <w:tab w:val="right" w:leader="dot" w:pos="9298"/>
        </w:tabs>
        <w:ind w:firstLine="420"/>
      </w:pPr>
    </w:p>
    <w:p w14:paraId="58D76E65">
      <w:pPr>
        <w:pStyle w:val="17"/>
        <w:tabs>
          <w:tab w:val="center" w:pos="4201"/>
          <w:tab w:val="right" w:leader="dot" w:pos="9298"/>
        </w:tabs>
        <w:ind w:firstLine="420"/>
      </w:pPr>
    </w:p>
    <w:p w14:paraId="3A9189B1">
      <w:pPr>
        <w:pStyle w:val="17"/>
        <w:tabs>
          <w:tab w:val="center" w:pos="4201"/>
          <w:tab w:val="right" w:leader="dot" w:pos="9298"/>
        </w:tabs>
        <w:ind w:firstLine="420"/>
      </w:pPr>
    </w:p>
    <w:p w14:paraId="4F6C2C3B">
      <w:pPr>
        <w:pStyle w:val="17"/>
        <w:tabs>
          <w:tab w:val="center" w:pos="4201"/>
          <w:tab w:val="right" w:leader="dot" w:pos="9298"/>
        </w:tabs>
        <w:ind w:firstLine="420"/>
      </w:pPr>
    </w:p>
    <w:p w14:paraId="2AD02E92">
      <w:pPr>
        <w:pStyle w:val="17"/>
        <w:tabs>
          <w:tab w:val="center" w:pos="4201"/>
          <w:tab w:val="right" w:leader="dot" w:pos="9298"/>
        </w:tabs>
        <w:ind w:firstLine="420"/>
      </w:pPr>
    </w:p>
    <w:p w14:paraId="3999BDAE">
      <w:pPr>
        <w:pStyle w:val="17"/>
        <w:tabs>
          <w:tab w:val="center" w:pos="4201"/>
          <w:tab w:val="right" w:leader="dot" w:pos="9298"/>
        </w:tabs>
        <w:ind w:firstLine="420"/>
      </w:pPr>
    </w:p>
    <w:p w14:paraId="67E35A28">
      <w:pPr>
        <w:pStyle w:val="17"/>
        <w:tabs>
          <w:tab w:val="center" w:pos="4201"/>
          <w:tab w:val="right" w:leader="dot" w:pos="9298"/>
        </w:tabs>
        <w:ind w:firstLine="420"/>
      </w:pPr>
    </w:p>
    <w:p w14:paraId="0B6EB788">
      <w:pPr>
        <w:pStyle w:val="17"/>
        <w:tabs>
          <w:tab w:val="center" w:pos="4201"/>
          <w:tab w:val="right" w:leader="dot" w:pos="9298"/>
        </w:tabs>
        <w:ind w:firstLine="420"/>
      </w:pPr>
    </w:p>
    <w:p w14:paraId="54BF75B5">
      <w:pPr>
        <w:pStyle w:val="17"/>
        <w:tabs>
          <w:tab w:val="center" w:pos="4201"/>
          <w:tab w:val="right" w:leader="dot" w:pos="9298"/>
        </w:tabs>
        <w:ind w:firstLine="420"/>
      </w:pPr>
    </w:p>
    <w:p w14:paraId="118C79BC">
      <w:pPr>
        <w:pStyle w:val="17"/>
        <w:tabs>
          <w:tab w:val="center" w:pos="4201"/>
          <w:tab w:val="right" w:leader="dot" w:pos="9298"/>
        </w:tabs>
        <w:ind w:firstLine="420"/>
      </w:pPr>
    </w:p>
    <w:p w14:paraId="74738DED">
      <w:pPr>
        <w:pStyle w:val="17"/>
        <w:tabs>
          <w:tab w:val="center" w:pos="4201"/>
          <w:tab w:val="right" w:leader="dot" w:pos="9298"/>
        </w:tabs>
        <w:ind w:firstLine="420"/>
      </w:pPr>
    </w:p>
    <w:p w14:paraId="5052F7A9">
      <w:pPr>
        <w:pStyle w:val="17"/>
        <w:tabs>
          <w:tab w:val="center" w:pos="4201"/>
          <w:tab w:val="right" w:leader="dot" w:pos="9298"/>
        </w:tabs>
        <w:ind w:firstLine="420"/>
      </w:pPr>
    </w:p>
    <w:p w14:paraId="7ABE390E">
      <w:pPr>
        <w:pStyle w:val="17"/>
        <w:tabs>
          <w:tab w:val="center" w:pos="4201"/>
          <w:tab w:val="right" w:leader="dot" w:pos="9298"/>
        </w:tabs>
        <w:ind w:firstLine="420"/>
      </w:pPr>
    </w:p>
    <w:p w14:paraId="1EB08BAA">
      <w:pPr>
        <w:pStyle w:val="42"/>
        <w:spacing w:before="60" w:after="120"/>
      </w:pPr>
      <w:bookmarkStart w:id="206" w:name="_Toc23275"/>
      <w:bookmarkStart w:id="207" w:name="_Toc16574"/>
      <w:bookmarkStart w:id="208" w:name="_Toc13777"/>
      <w:r>
        <w:br w:type="textWrapping"/>
      </w:r>
      <w:bookmarkStart w:id="209" w:name="_Toc87375131"/>
      <w:bookmarkStart w:id="210" w:name="_Toc86162219"/>
      <w:bookmarkStart w:id="211" w:name="_Toc86162236"/>
      <w:bookmarkStart w:id="212" w:name="_Toc87788486"/>
      <w:r>
        <w:rPr>
          <w:rFonts w:hint="eastAsia"/>
        </w:rPr>
        <w:t>（资料性）</w:t>
      </w:r>
      <w:bookmarkEnd w:id="206"/>
      <w:bookmarkEnd w:id="207"/>
    </w:p>
    <w:p w14:paraId="769EF657">
      <w:pPr>
        <w:pStyle w:val="42"/>
        <w:numPr>
          <w:ilvl w:val="-1"/>
          <w:numId w:val="0"/>
        </w:numPr>
        <w:spacing w:before="60" w:after="120"/>
      </w:pPr>
      <w:bookmarkStart w:id="213" w:name="_Toc10074"/>
      <w:r>
        <w:rPr>
          <w:rFonts w:hint="eastAsia"/>
        </w:rPr>
        <w:t>受照人员生物剂量估算应用示例</w:t>
      </w:r>
      <w:bookmarkEnd w:id="208"/>
      <w:bookmarkEnd w:id="209"/>
      <w:bookmarkEnd w:id="210"/>
      <w:bookmarkEnd w:id="211"/>
      <w:bookmarkEnd w:id="212"/>
      <w:bookmarkEnd w:id="213"/>
    </w:p>
    <w:p w14:paraId="7BA8F089">
      <w:pPr>
        <w:pStyle w:val="36"/>
        <w:spacing w:line="360" w:lineRule="auto"/>
        <w:ind w:firstLine="420"/>
      </w:pPr>
      <w:r>
        <w:rPr>
          <w:rFonts w:hint="eastAsia"/>
        </w:rPr>
        <w:t>某人受</w:t>
      </w:r>
      <w:r>
        <w:rPr>
          <w:vertAlign w:val="superscript"/>
        </w:rPr>
        <w:t>60</w:t>
      </w:r>
      <w:r>
        <w:rPr>
          <w:rFonts w:hint="eastAsia"/>
        </w:rPr>
        <w:t>Co γ射线一次全身照射，照后48h内取血，采用微量全血培养法制备染色体标本,自动分析500个中期相细胞,半自动检测出dic 184个，估算其生物剂量。</w:t>
      </w:r>
    </w:p>
    <w:p w14:paraId="3D30B9F4">
      <w:pPr>
        <w:pStyle w:val="36"/>
        <w:spacing w:line="360" w:lineRule="auto"/>
        <w:ind w:firstLine="420"/>
      </w:pPr>
      <w:r>
        <w:rPr>
          <w:rFonts w:hint="eastAsia"/>
        </w:rPr>
        <w:t>将分析细胞数（500）和检测得到的dic数（184）分别代入</w:t>
      </w:r>
      <w:r>
        <w:rPr>
          <w:rFonts w:hint="eastAsia"/>
          <w:lang w:val="en-US" w:eastAsia="zh-CN"/>
        </w:rPr>
        <w:t>4.7.1</w:t>
      </w:r>
      <w:r>
        <w:rPr>
          <w:rFonts w:hint="eastAsia"/>
        </w:rPr>
        <w:t>中公式（1）、（2）和（3），计算出的每细胞dic数为0.3680，标准误</w:t>
      </w:r>
      <w:r>
        <w:rPr>
          <w:rFonts w:hint="eastAsia"/>
          <w:i/>
          <w:iCs/>
        </w:rPr>
        <w:t>S</w:t>
      </w:r>
      <w:r>
        <w:rPr>
          <w:rFonts w:hint="eastAsia"/>
          <w:i/>
          <w:iCs/>
          <w:vertAlign w:val="subscript"/>
        </w:rPr>
        <w:t xml:space="preserve">p </w:t>
      </w:r>
      <w:r>
        <w:rPr>
          <w:rFonts w:hint="eastAsia"/>
        </w:rPr>
        <w:t>为0.0271，每细胞dic数的95%可信区间为0.3149</w:t>
      </w:r>
      <w:r>
        <w:rPr>
          <w:rFonts w:hint="eastAsia" w:eastAsia="宋体"/>
        </w:rPr>
        <w:t>～</w:t>
      </w:r>
      <w:r>
        <w:rPr>
          <w:rFonts w:hint="eastAsia"/>
        </w:rPr>
        <w:t>0.4211。</w:t>
      </w:r>
    </w:p>
    <w:p w14:paraId="506226C2">
      <w:pPr>
        <w:pStyle w:val="36"/>
        <w:spacing w:line="360" w:lineRule="auto"/>
        <w:ind w:firstLine="420"/>
      </w:pPr>
      <w:r>
        <w:rPr>
          <w:rFonts w:hint="eastAsia"/>
        </w:rPr>
        <w:t>选择本实验室所建立的</w:t>
      </w:r>
      <w:r>
        <w:rPr>
          <w:vertAlign w:val="superscript"/>
        </w:rPr>
        <w:t>60</w:t>
      </w:r>
      <w:r>
        <w:rPr>
          <w:rFonts w:hint="eastAsia"/>
        </w:rPr>
        <w:t>Co γ射线照射离体人外周血建立的dic半自动分析的剂量-效应曲线：</w:t>
      </w:r>
    </w:p>
    <w:p w14:paraId="2F8D24F5">
      <w:pPr>
        <w:pStyle w:val="36"/>
        <w:spacing w:line="360" w:lineRule="auto"/>
        <w:ind w:firstLine="420"/>
      </w:pPr>
      <w:r>
        <w:rPr>
          <w:rFonts w:hint="eastAsia" w:asciiTheme="minorEastAsia" w:hAnsiTheme="minorEastAsia" w:cstheme="minorEastAsia"/>
          <w:i/>
          <w:szCs w:val="21"/>
        </w:rPr>
        <w:t xml:space="preserve">Y </w:t>
      </w:r>
      <w:r>
        <w:rPr>
          <w:rFonts w:hint="eastAsia" w:asciiTheme="minorEastAsia" w:hAnsiTheme="minorEastAsia" w:cstheme="minorEastAsia"/>
          <w:szCs w:val="21"/>
        </w:rPr>
        <w:t>= 0.0001954 + 0.044228</w:t>
      </w:r>
      <w:r>
        <w:rPr>
          <w:rFonts w:hint="eastAsia" w:asciiTheme="minorEastAsia" w:hAnsiTheme="minorEastAsia" w:cstheme="minorEastAsia"/>
          <w:i/>
          <w:szCs w:val="21"/>
        </w:rPr>
        <w:t xml:space="preserve">D </w:t>
      </w:r>
      <w:r>
        <w:rPr>
          <w:rFonts w:hint="eastAsia" w:asciiTheme="minorEastAsia" w:hAnsiTheme="minorEastAsia" w:cstheme="minorEastAsia"/>
          <w:szCs w:val="21"/>
        </w:rPr>
        <w:t>+ 0.024628</w:t>
      </w:r>
      <w:r>
        <w:rPr>
          <w:rFonts w:hint="eastAsia" w:asciiTheme="minorEastAsia" w:hAnsiTheme="minorEastAsia" w:cstheme="minorEastAsia"/>
          <w:i/>
          <w:szCs w:val="21"/>
        </w:rPr>
        <w:t xml:space="preserve">D </w:t>
      </w:r>
      <w:r>
        <w:rPr>
          <w:rFonts w:hint="eastAsia" w:asciiTheme="minorEastAsia" w:hAnsiTheme="minorEastAsia" w:cstheme="minorEastAsia"/>
          <w:szCs w:val="21"/>
          <w:vertAlign w:val="superscript"/>
        </w:rPr>
        <w:t>2</w:t>
      </w:r>
      <w:r>
        <w:rPr>
          <w:rFonts w:hint="eastAsia" w:hAnsi="宋体"/>
        </w:rPr>
        <w:t>…………………………………………（4）</w:t>
      </w:r>
    </w:p>
    <w:p w14:paraId="11D92054">
      <w:pPr>
        <w:pStyle w:val="36"/>
        <w:spacing w:line="360" w:lineRule="auto"/>
        <w:ind w:firstLine="420"/>
      </w:pPr>
      <w:r>
        <w:rPr>
          <w:rFonts w:hint="eastAsia"/>
        </w:rPr>
        <w:t>该曲线的剂量范围为0.5</w:t>
      </w:r>
      <w:r>
        <w:rPr>
          <w:szCs w:val="21"/>
        </w:rPr>
        <w:t> </w:t>
      </w:r>
      <w:r>
        <w:rPr>
          <w:rFonts w:hint="eastAsia"/>
        </w:rPr>
        <w:t>Gy～5.0</w:t>
      </w:r>
      <w:r>
        <w:rPr>
          <w:szCs w:val="21"/>
        </w:rPr>
        <w:t> </w:t>
      </w:r>
      <w:r>
        <w:rPr>
          <w:rFonts w:hint="eastAsia"/>
        </w:rPr>
        <w:t>Gy，剂量率为0.27</w:t>
      </w:r>
      <w:r>
        <w:rPr>
          <w:szCs w:val="21"/>
        </w:rPr>
        <w:t> </w:t>
      </w:r>
      <w:r>
        <w:rPr>
          <w:rFonts w:hint="eastAsia"/>
        </w:rPr>
        <w:t>Gy/min，</w:t>
      </w:r>
      <w:r>
        <w:rPr>
          <w:rFonts w:hint="eastAsia"/>
          <w:i/>
        </w:rPr>
        <w:t xml:space="preserve">Y </w:t>
      </w:r>
      <w:r>
        <w:rPr>
          <w:rFonts w:hint="eastAsia"/>
        </w:rPr>
        <w:t>为每细胞dic数，</w:t>
      </w:r>
      <w:r>
        <w:rPr>
          <w:rFonts w:hint="eastAsia"/>
          <w:i/>
          <w:iCs/>
        </w:rPr>
        <w:t xml:space="preserve">D </w:t>
      </w:r>
      <w:r>
        <w:rPr>
          <w:rFonts w:hint="eastAsia"/>
        </w:rPr>
        <w:t>为剂量（Gy）。</w:t>
      </w:r>
    </w:p>
    <w:p w14:paraId="7A8EE00C">
      <w:pPr>
        <w:pStyle w:val="36"/>
        <w:spacing w:line="360" w:lineRule="auto"/>
        <w:ind w:firstLine="420"/>
      </w:pPr>
      <w:r>
        <w:rPr>
          <w:rFonts w:hint="eastAsia"/>
        </w:rPr>
        <w:t>将0.3680、0.3149和0.4211分别代入公式（4）中的</w:t>
      </w:r>
      <w:r>
        <w:rPr>
          <w:rFonts w:hint="eastAsia"/>
          <w:i/>
        </w:rPr>
        <w:t xml:space="preserve">Y </w:t>
      </w:r>
      <w:r>
        <w:rPr>
          <w:rFonts w:hint="eastAsia"/>
        </w:rPr>
        <w:t>项，解方程后求出平均剂量为3.07Gy，95%可信区间下限为2.79Gy、上限为3.33Gy。</w:t>
      </w:r>
    </w:p>
    <w:p w14:paraId="18089A76">
      <w:pPr>
        <w:spacing w:line="360" w:lineRule="auto"/>
        <w:jc w:val="left"/>
        <w:rPr>
          <w:rFonts w:ascii="宋体" w:hAnsi="宋体" w:eastAsia="宋体" w:cs="宋体"/>
          <w:kern w:val="0"/>
          <w:szCs w:val="21"/>
        </w:rPr>
      </w:pPr>
      <w:r>
        <w:rPr>
          <w:rFonts w:hint="eastAsia"/>
        </w:rPr>
        <w:t xml:space="preserve">    亦可以将分析细胞数</w:t>
      </w:r>
      <w:r>
        <w:rPr>
          <w:rFonts w:hint="eastAsia" w:ascii="宋体" w:hAnsi="宋体" w:eastAsia="宋体" w:cs="宋体"/>
        </w:rPr>
        <w:t>（500）、检测得到的dic数（184）和公式（4）的各项回归系数输入到</w:t>
      </w:r>
      <w:r>
        <w:rPr>
          <w:rFonts w:hint="eastAsia" w:ascii="宋体" w:hAnsi="宋体" w:eastAsia="宋体" w:cs="宋体"/>
          <w:szCs w:val="21"/>
        </w:rPr>
        <w:t>剂量估算软件CABAS中，估算的</w:t>
      </w:r>
      <w:r>
        <w:rPr>
          <w:rFonts w:hint="eastAsia" w:ascii="宋体" w:hAnsi="宋体" w:eastAsia="宋体" w:cs="宋体"/>
        </w:rPr>
        <w:t>平均剂量为3.07Gy，95%可信区间下限为2.80Gy、上限为3.35Gy。</w:t>
      </w:r>
    </w:p>
    <w:bookmarkEnd w:id="17"/>
    <w:bookmarkEnd w:id="18"/>
    <w:p w14:paraId="18A168FF">
      <w:pPr>
        <w:pStyle w:val="17"/>
        <w:tabs>
          <w:tab w:val="center" w:pos="4201"/>
          <w:tab w:val="right" w:leader="dot" w:pos="9298"/>
        </w:tabs>
        <w:ind w:firstLine="0" w:firstLineChars="0"/>
        <w:rPr>
          <w:rFonts w:ascii="黑体" w:hAnsi="黑体" w:eastAsia="黑体"/>
          <w:szCs w:val="21"/>
        </w:rPr>
      </w:pPr>
      <w:r>
        <w:rPr>
          <w:rFonts w:ascii="黑体" w:hAnsi="黑体" w:eastAsia="黑体"/>
          <w:szCs w:val="21"/>
        </w:rPr>
        <w:br w:type="page"/>
      </w:r>
    </w:p>
    <w:p w14:paraId="5435E69E">
      <w:pPr>
        <w:jc w:val="center"/>
        <w:rPr>
          <w:rFonts w:hint="eastAsia" w:ascii="黑体" w:hAnsi="黑体" w:eastAsia="黑体" w:cs="黑体"/>
        </w:rPr>
      </w:pPr>
    </w:p>
    <w:p w14:paraId="179B5419">
      <w:pPr>
        <w:jc w:val="center"/>
        <w:outlineLvl w:val="0"/>
        <w:rPr>
          <w:rFonts w:ascii="黑体" w:hAnsi="黑体" w:eastAsia="黑体" w:cs="黑体"/>
        </w:rPr>
      </w:pPr>
      <w:r>
        <w:rPr>
          <w:rFonts w:hint="eastAsia" w:ascii="黑体" w:hAnsi="黑体" w:eastAsia="黑体" w:cs="黑体"/>
        </w:rPr>
        <w:t xml:space="preserve">附录D </w:t>
      </w:r>
    </w:p>
    <w:p w14:paraId="1741F0F1">
      <w:pPr>
        <w:jc w:val="center"/>
        <w:outlineLvl w:val="0"/>
        <w:rPr>
          <w:rFonts w:ascii="黑体" w:hAnsi="黑体" w:eastAsia="黑体" w:cs="黑体"/>
        </w:rPr>
      </w:pPr>
      <w:r>
        <w:rPr>
          <w:rFonts w:hint="eastAsia" w:ascii="黑体" w:hAnsi="黑体" w:eastAsia="黑体" w:cs="黑体"/>
        </w:rPr>
        <w:t>（资料性）</w:t>
      </w:r>
      <w:r>
        <w:rPr>
          <w:rFonts w:hint="eastAsia" w:ascii="黑体" w:hAnsi="黑体" w:eastAsia="黑体" w:cs="黑体"/>
        </w:rPr>
        <w:br w:type="textWrapping"/>
      </w:r>
      <w:r>
        <w:rPr>
          <w:rFonts w:hint="eastAsia" w:ascii="黑体" w:hAnsi="黑体" w:eastAsia="黑体" w:cs="黑体"/>
          <w:lang w:val="en-US" w:eastAsia="zh-CN"/>
        </w:rPr>
        <w:t>复杂外照射场景</w:t>
      </w:r>
      <w:r>
        <w:rPr>
          <w:rFonts w:hint="eastAsia" w:ascii="黑体" w:hAnsi="黑体" w:eastAsia="黑体" w:cs="黑体"/>
        </w:rPr>
        <w:t>的生物剂量估算</w:t>
      </w:r>
    </w:p>
    <w:p w14:paraId="62FF7B62">
      <w:pPr>
        <w:pStyle w:val="36"/>
        <w:ind w:firstLine="0" w:firstLineChars="0"/>
      </w:pPr>
    </w:p>
    <w:p w14:paraId="7B7C84EB">
      <w:pPr>
        <w:spacing w:line="360" w:lineRule="auto"/>
        <w:jc w:val="left"/>
        <w:outlineLvl w:val="9"/>
        <w:rPr>
          <w:rFonts w:ascii="黑体" w:hAnsi="黑体" w:eastAsia="黑体" w:cs="黑体"/>
        </w:rPr>
      </w:pPr>
      <w:r>
        <w:rPr>
          <w:rFonts w:hint="eastAsia"/>
        </w:rPr>
        <w:t xml:space="preserve">   </w:t>
      </w:r>
      <w:r>
        <w:rPr>
          <w:rFonts w:hint="eastAsia" w:ascii="黑体" w:hAnsi="黑体" w:eastAsia="黑体" w:cs="黑体"/>
        </w:rPr>
        <w:t xml:space="preserve"> </w:t>
      </w:r>
      <w:bookmarkStart w:id="214" w:name="_Toc6648"/>
      <w:r>
        <w:rPr>
          <w:rFonts w:hint="eastAsia" w:ascii="黑体" w:hAnsi="黑体" w:eastAsia="黑体" w:cs="黑体"/>
        </w:rPr>
        <w:t>D.1迁延性照射的生物剂量估算</w:t>
      </w:r>
      <w:bookmarkEnd w:id="214"/>
    </w:p>
    <w:p w14:paraId="51ACFA2B">
      <w:pPr>
        <w:pStyle w:val="36"/>
        <w:spacing w:line="360" w:lineRule="auto"/>
        <w:ind w:firstLine="420"/>
        <w:rPr>
          <w:rFonts w:asciiTheme="minorEastAsia" w:hAnsiTheme="minorEastAsia" w:cstheme="minorEastAsia"/>
          <w:szCs w:val="21"/>
        </w:rPr>
      </w:pPr>
      <w:r>
        <w:rPr>
          <w:rFonts w:hint="eastAsia" w:asciiTheme="minorEastAsia" w:hAnsiTheme="minorEastAsia" w:cstheme="minorEastAsia"/>
          <w:szCs w:val="21"/>
        </w:rPr>
        <w:t>迁延性照射(protracted exposure)是指在长时期内受到的低剂量率连续或间断性照射。例如比较均匀的剂量率、总剂量为几Gy的X或γ射线较长时间照射时,剂量平方项的系数下降，此时可引进一个依赖于时间的函数</w:t>
      </w:r>
      <w:r>
        <w:rPr>
          <w:i/>
          <w:color w:val="000000"/>
          <w:szCs w:val="21"/>
          <w:lang w:val="es-MX"/>
        </w:rPr>
        <w:t>G</w:t>
      </w:r>
      <w:r>
        <w:rPr>
          <w:color w:val="000000"/>
          <w:szCs w:val="21"/>
          <w:vertAlign w:val="subscript"/>
          <w:lang w:val="es-MX"/>
        </w:rPr>
        <w:t>(</w:t>
      </w:r>
      <w:r>
        <w:rPr>
          <w:i/>
          <w:color w:val="000000"/>
          <w:szCs w:val="21"/>
          <w:vertAlign w:val="subscript"/>
          <w:lang w:val="es-MX"/>
        </w:rPr>
        <w:t>x</w:t>
      </w:r>
      <w:r>
        <w:rPr>
          <w:color w:val="000000"/>
          <w:szCs w:val="21"/>
          <w:vertAlign w:val="subscript"/>
          <w:lang w:val="es-MX"/>
        </w:rPr>
        <w:t>)</w:t>
      </w:r>
      <w:r>
        <w:rPr>
          <w:rFonts w:hint="eastAsia"/>
          <w:color w:val="000000"/>
          <w:szCs w:val="21"/>
          <w:lang w:val="es-MX"/>
        </w:rPr>
        <w:t>（</w:t>
      </w:r>
      <w:r>
        <w:rPr>
          <w:rFonts w:hint="eastAsia"/>
          <w:color w:val="000000"/>
          <w:szCs w:val="21"/>
        </w:rPr>
        <w:t>2011年IAEA</w:t>
      </w:r>
      <w:r>
        <w:rPr>
          <w:rFonts w:hint="eastAsia"/>
          <w:color w:val="000000"/>
          <w:szCs w:val="21"/>
          <w:lang w:val="es-MX"/>
        </w:rPr>
        <w:t>），</w:t>
      </w:r>
      <w:r>
        <w:rPr>
          <w:rFonts w:hint="eastAsia"/>
          <w:color w:val="000000"/>
          <w:szCs w:val="21"/>
        </w:rPr>
        <w:t>剂量估算的</w:t>
      </w:r>
      <w:r>
        <w:rPr>
          <w:rFonts w:hint="eastAsia" w:asciiTheme="minorEastAsia" w:hAnsiTheme="minorEastAsia" w:cstheme="minorEastAsia"/>
          <w:szCs w:val="21"/>
        </w:rPr>
        <w:t>公式为:</w:t>
      </w:r>
      <w:r>
        <w:rPr>
          <w:i/>
          <w:color w:val="000000"/>
          <w:szCs w:val="21"/>
          <w:lang w:val="es-MX"/>
        </w:rPr>
        <w:t>Y</w:t>
      </w:r>
      <w:r>
        <w:rPr>
          <w:color w:val="000000"/>
          <w:szCs w:val="21"/>
          <w:lang w:val="es-MX"/>
        </w:rPr>
        <w:t>=</w:t>
      </w:r>
      <w:r>
        <w:rPr>
          <w:i/>
          <w:color w:val="000000"/>
          <w:szCs w:val="21"/>
          <w:lang w:val="es-MX"/>
        </w:rPr>
        <w:t>αD</w:t>
      </w:r>
      <w:r>
        <w:rPr>
          <w:color w:val="000000"/>
          <w:szCs w:val="21"/>
          <w:lang w:val="es-MX"/>
        </w:rPr>
        <w:t xml:space="preserve"> +</w:t>
      </w:r>
      <w:r>
        <w:rPr>
          <w:i/>
          <w:color w:val="000000"/>
          <w:szCs w:val="21"/>
          <w:lang w:val="es-MX"/>
        </w:rPr>
        <w:t>ßG</w:t>
      </w:r>
      <w:r>
        <w:rPr>
          <w:color w:val="000000"/>
          <w:szCs w:val="21"/>
          <w:vertAlign w:val="subscript"/>
          <w:lang w:val="es-MX"/>
        </w:rPr>
        <w:t>(</w:t>
      </w:r>
      <w:r>
        <w:rPr>
          <w:i/>
          <w:color w:val="000000"/>
          <w:szCs w:val="21"/>
          <w:vertAlign w:val="subscript"/>
          <w:lang w:val="es-MX"/>
        </w:rPr>
        <w:t>x</w:t>
      </w:r>
      <w:r>
        <w:rPr>
          <w:color w:val="000000"/>
          <w:szCs w:val="21"/>
          <w:vertAlign w:val="subscript"/>
          <w:lang w:val="es-MX"/>
        </w:rPr>
        <w:t>)</w:t>
      </w:r>
      <w:r>
        <w:rPr>
          <w:i/>
          <w:color w:val="000000"/>
          <w:szCs w:val="21"/>
          <w:lang w:val="es-MX"/>
        </w:rPr>
        <w:t>D</w:t>
      </w:r>
      <w:r>
        <w:rPr>
          <w:color w:val="000000"/>
          <w:szCs w:val="21"/>
          <w:vertAlign w:val="superscript"/>
          <w:lang w:val="es-MX"/>
        </w:rPr>
        <w:t>2</w:t>
      </w:r>
      <w:r>
        <w:rPr>
          <w:rFonts w:hint="eastAsia"/>
          <w:color w:val="000000"/>
          <w:szCs w:val="21"/>
          <w:lang w:val="es-MX"/>
        </w:rPr>
        <w:t>，</w:t>
      </w:r>
    </w:p>
    <w:p w14:paraId="1C4C567E">
      <w:pPr>
        <w:pStyle w:val="36"/>
        <w:spacing w:line="360" w:lineRule="auto"/>
        <w:ind w:firstLine="420"/>
        <w:rPr>
          <w:rFonts w:asciiTheme="minorEastAsia" w:hAnsiTheme="minorEastAsia" w:cstheme="minorEastAsia"/>
          <w:szCs w:val="21"/>
        </w:rPr>
      </w:pPr>
      <w:r>
        <w:rPr>
          <w:i/>
          <w:color w:val="000000"/>
          <w:szCs w:val="21"/>
          <w:lang w:val="es-MX"/>
        </w:rPr>
        <w:t>G</w:t>
      </w:r>
      <w:r>
        <w:rPr>
          <w:i/>
          <w:color w:val="000000"/>
          <w:szCs w:val="21"/>
          <w:vertAlign w:val="subscript"/>
          <w:lang w:val="es-MX"/>
        </w:rPr>
        <w:t xml:space="preserve"> </w:t>
      </w:r>
      <w:r>
        <w:rPr>
          <w:color w:val="000000"/>
          <w:szCs w:val="21"/>
          <w:vertAlign w:val="subscript"/>
          <w:lang w:val="es-MX"/>
        </w:rPr>
        <w:t>(</w:t>
      </w:r>
      <w:r>
        <w:rPr>
          <w:i/>
          <w:color w:val="000000"/>
          <w:szCs w:val="21"/>
          <w:vertAlign w:val="subscript"/>
          <w:lang w:val="es-MX"/>
        </w:rPr>
        <w:t>x</w:t>
      </w:r>
      <w:r>
        <w:rPr>
          <w:color w:val="000000"/>
          <w:szCs w:val="21"/>
          <w:vertAlign w:val="subscript"/>
          <w:lang w:val="es-MX"/>
        </w:rPr>
        <w:t>)</w:t>
      </w:r>
      <w:r>
        <w:rPr>
          <w:color w:val="000000"/>
          <w:szCs w:val="21"/>
          <w:lang w:val="es-MX"/>
        </w:rPr>
        <w:t xml:space="preserve"> =2/</w:t>
      </w:r>
      <w:r>
        <w:rPr>
          <w:i/>
          <w:color w:val="000000"/>
          <w:szCs w:val="21"/>
          <w:lang w:val="es-MX"/>
        </w:rPr>
        <w:t>x</w:t>
      </w:r>
      <w:r>
        <w:rPr>
          <w:color w:val="000000"/>
          <w:szCs w:val="21"/>
          <w:vertAlign w:val="superscript"/>
          <w:lang w:val="es-MX"/>
        </w:rPr>
        <w:t>2</w:t>
      </w:r>
      <w:r>
        <w:rPr>
          <w:color w:val="000000"/>
          <w:szCs w:val="21"/>
          <w:lang w:val="es-MX"/>
        </w:rPr>
        <w:t>［</w:t>
      </w:r>
      <w:r>
        <w:rPr>
          <w:i/>
          <w:color w:val="000000"/>
          <w:szCs w:val="21"/>
          <w:lang w:val="es-MX"/>
        </w:rPr>
        <w:t>x</w:t>
      </w:r>
      <w:r>
        <w:rPr>
          <w:color w:val="000000"/>
          <w:szCs w:val="21"/>
          <w:vertAlign w:val="superscript"/>
          <w:lang w:val="es-MX"/>
        </w:rPr>
        <w:t>-1</w:t>
      </w:r>
      <w:r>
        <w:rPr>
          <w:color w:val="000000"/>
          <w:szCs w:val="21"/>
          <w:lang w:val="es-MX"/>
        </w:rPr>
        <w:t>+exp(-</w:t>
      </w:r>
      <w:r>
        <w:rPr>
          <w:i/>
          <w:color w:val="000000"/>
          <w:szCs w:val="21"/>
          <w:lang w:val="es-MX"/>
        </w:rPr>
        <w:t>x</w:t>
      </w:r>
      <w:r>
        <w:rPr>
          <w:color w:val="000000"/>
          <w:szCs w:val="21"/>
          <w:lang w:val="es-MX"/>
        </w:rPr>
        <w:t>)］，其中</w:t>
      </w:r>
      <w:r>
        <w:rPr>
          <w:i/>
          <w:color w:val="000000"/>
          <w:szCs w:val="21"/>
          <w:lang w:val="es-MX"/>
        </w:rPr>
        <w:t>x</w:t>
      </w:r>
      <w:r>
        <w:rPr>
          <w:color w:val="000000"/>
          <w:szCs w:val="21"/>
          <w:lang w:val="es-MX"/>
        </w:rPr>
        <w:t>=</w:t>
      </w:r>
      <w:r>
        <w:rPr>
          <w:i/>
          <w:color w:val="000000"/>
          <w:szCs w:val="21"/>
          <w:lang w:val="es-MX"/>
        </w:rPr>
        <w:t>t</w:t>
      </w:r>
      <w:r>
        <w:rPr>
          <w:color w:val="000000"/>
          <w:szCs w:val="21"/>
          <w:lang w:val="es-MX"/>
        </w:rPr>
        <w:t>/</w:t>
      </w:r>
      <w:r>
        <w:rPr>
          <w:i/>
          <w:color w:val="000000"/>
          <w:szCs w:val="21"/>
          <w:lang w:val="es-MX"/>
        </w:rPr>
        <w:t>t</w:t>
      </w:r>
      <w:r>
        <w:rPr>
          <w:color w:val="000000"/>
          <w:szCs w:val="21"/>
          <w:vertAlign w:val="subscript"/>
          <w:lang w:val="es-MX"/>
        </w:rPr>
        <w:t>0</w:t>
      </w:r>
      <w:r>
        <w:rPr>
          <w:color w:val="000000"/>
          <w:szCs w:val="21"/>
          <w:lang w:val="es-MX"/>
        </w:rPr>
        <w:t>，</w:t>
      </w:r>
      <w:r>
        <w:rPr>
          <w:i/>
          <w:color w:val="000000"/>
          <w:szCs w:val="21"/>
          <w:lang w:val="es-MX"/>
        </w:rPr>
        <w:t>t</w:t>
      </w:r>
      <w:r>
        <w:rPr>
          <w:color w:val="000000"/>
          <w:szCs w:val="21"/>
          <w:lang w:val="es-MX"/>
        </w:rPr>
        <w:t>为迁延受照时间，</w:t>
      </w:r>
      <w:r>
        <w:rPr>
          <w:i/>
          <w:color w:val="000000"/>
          <w:szCs w:val="21"/>
          <w:lang w:val="es-MX"/>
        </w:rPr>
        <w:t>t</w:t>
      </w:r>
      <w:r>
        <w:rPr>
          <w:color w:val="000000"/>
          <w:szCs w:val="21"/>
          <w:vertAlign w:val="subscript"/>
          <w:lang w:val="es-MX"/>
        </w:rPr>
        <w:t>0</w:t>
      </w:r>
      <w:r>
        <w:rPr>
          <w:color w:val="000000"/>
          <w:szCs w:val="21"/>
          <w:lang w:val="es-MX"/>
        </w:rPr>
        <w:t>为</w:t>
      </w:r>
      <w:r>
        <w:rPr>
          <w:szCs w:val="21"/>
        </w:rPr>
        <w:t>断裂修复时间（一般为2h）</w:t>
      </w:r>
      <w:r>
        <w:rPr>
          <w:rFonts w:hint="eastAsia"/>
          <w:szCs w:val="21"/>
        </w:rPr>
        <w:t>。</w:t>
      </w:r>
    </w:p>
    <w:p w14:paraId="3DF4FE7D">
      <w:pPr>
        <w:pStyle w:val="36"/>
        <w:spacing w:line="360" w:lineRule="auto"/>
        <w:ind w:firstLine="0" w:firstLineChars="0"/>
        <w:outlineLvl w:val="9"/>
      </w:pPr>
      <w:r>
        <w:rPr>
          <w:rFonts w:hint="eastAsia"/>
        </w:rPr>
        <w:t xml:space="preserve">    </w:t>
      </w:r>
      <w:bookmarkStart w:id="215" w:name="_Toc32586"/>
      <w:r>
        <w:rPr>
          <w:rFonts w:hint="eastAsia" w:ascii="黑体" w:hAnsi="黑体" w:eastAsia="黑体" w:cs="黑体"/>
        </w:rPr>
        <w:t>D.2</w:t>
      </w:r>
      <w:r>
        <w:rPr>
          <w:rFonts w:hint="eastAsia"/>
        </w:rPr>
        <w:t xml:space="preserve"> </w:t>
      </w:r>
      <w:r>
        <w:rPr>
          <w:rFonts w:hint="eastAsia" w:ascii="黑体" w:hAnsi="黑体" w:eastAsia="黑体" w:cs="黑体"/>
        </w:rPr>
        <w:t>不均匀照射和局部照射的生物剂量估算</w:t>
      </w:r>
      <w:bookmarkEnd w:id="215"/>
    </w:p>
    <w:p w14:paraId="5F107017">
      <w:pPr>
        <w:spacing w:line="360" w:lineRule="auto"/>
        <w:ind w:firstLine="420"/>
        <w:rPr>
          <w:szCs w:val="21"/>
        </w:rPr>
      </w:pPr>
      <w:r>
        <w:rPr>
          <w:rFonts w:hint="eastAsia"/>
          <w:szCs w:val="21"/>
        </w:rPr>
        <w:t>人体受到照射时，由于体内各部位吸收剂量不可能是完全均匀的，故有比较均匀和不均匀照射之分，二者界限不甚明确，只是相对而言。不均匀程度是以全身不同部位受照最大是最小剂量的相对倍数（不均匀系数）表示，对不均匀系数小于3者称为比较均匀照射，大于3者称为不均匀照射。</w:t>
      </w:r>
    </w:p>
    <w:p w14:paraId="5B880F76">
      <w:pPr>
        <w:spacing w:line="360" w:lineRule="auto"/>
        <w:ind w:firstLine="420"/>
        <w:rPr>
          <w:szCs w:val="21"/>
        </w:rPr>
      </w:pPr>
      <w:r>
        <w:rPr>
          <w:rFonts w:hint="eastAsia" w:ascii="黑体" w:hAnsi="黑体" w:eastAsia="黑体" w:cs="黑体"/>
          <w:szCs w:val="21"/>
        </w:rPr>
        <w:t>D.2.1</w:t>
      </w:r>
      <w:r>
        <w:rPr>
          <w:rFonts w:hint="eastAsia"/>
          <w:szCs w:val="21"/>
        </w:rPr>
        <w:t xml:space="preserve"> 不均匀和局部照射的统计检验</w:t>
      </w:r>
    </w:p>
    <w:p w14:paraId="37523500">
      <w:pPr>
        <w:spacing w:line="360" w:lineRule="auto"/>
        <w:ind w:firstLine="42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在低LET辐射均匀照射时，dic在细胞间呈泊松分布，在不均匀和局部照射时偏离泊松分布。泊松分布</w:t>
      </w:r>
      <w:r>
        <w:rPr>
          <w:rFonts w:hint="eastAsia" w:asciiTheme="majorEastAsia" w:hAnsiTheme="majorEastAsia" w:eastAsiaTheme="majorEastAsia" w:cstheme="majorEastAsia"/>
          <w:i/>
          <w:szCs w:val="21"/>
        </w:rPr>
        <w:t>u</w:t>
      </w:r>
      <w:r>
        <w:rPr>
          <w:rFonts w:hint="eastAsia" w:asciiTheme="majorEastAsia" w:hAnsiTheme="majorEastAsia" w:eastAsiaTheme="majorEastAsia" w:cstheme="majorEastAsia"/>
          <w:szCs w:val="21"/>
        </w:rPr>
        <w:t>检验判定是否为均匀照射。其计算公式如下：</w:t>
      </w:r>
    </w:p>
    <w:p w14:paraId="55572A04">
      <w:pPr>
        <w:ind w:firstLine="420" w:firstLineChars="200"/>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i/>
          <w:szCs w:val="21"/>
        </w:rPr>
        <w:t>u</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position w:val="-70"/>
          <w:szCs w:val="21"/>
        </w:rPr>
        <w:object>
          <v:shape id="_x0000_i1027" o:spt="75" type="#_x0000_t75" style="height:56pt;width:103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rPr>
          <w:rFonts w:hint="eastAsia" w:ascii="宋体" w:hAnsi="宋体"/>
        </w:rPr>
        <w:t>……………………………（</w:t>
      </w:r>
      <w:r>
        <w:rPr>
          <w:rFonts w:hint="eastAsia" w:ascii="宋体" w:hAnsi="宋体"/>
          <w:lang w:val="en-US" w:eastAsia="zh-CN"/>
        </w:rPr>
        <w:t>5</w:t>
      </w:r>
      <w:r>
        <w:rPr>
          <w:rFonts w:hint="eastAsia" w:ascii="宋体" w:hAnsi="宋体"/>
        </w:rPr>
        <w:t>）</w:t>
      </w:r>
    </w:p>
    <w:p w14:paraId="62188EA4">
      <w:pPr>
        <w:ind w:firstLine="420" w:firstLineChars="200"/>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position w:val="-28"/>
          <w:szCs w:val="21"/>
        </w:rPr>
        <w:object>
          <v:shape id="_x0000_i1028" o:spt="75" type="#_x0000_t75" style="height:36pt;width:106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rPr>
          <w:rFonts w:hint="eastAsia" w:ascii="宋体" w:hAnsi="宋体"/>
        </w:rPr>
        <w:t>…………………………（</w:t>
      </w:r>
      <w:r>
        <w:rPr>
          <w:rFonts w:hint="eastAsia" w:ascii="宋体" w:hAnsi="宋体"/>
          <w:lang w:val="en-US" w:eastAsia="zh-CN"/>
        </w:rPr>
        <w:t>6</w:t>
      </w:r>
      <w:r>
        <w:rPr>
          <w:rFonts w:hint="eastAsia" w:ascii="宋体" w:hAnsi="宋体"/>
        </w:rPr>
        <w:t>）</w:t>
      </w:r>
    </w:p>
    <w:p w14:paraId="3E3960FE">
      <w:pPr>
        <w:spacing w:line="360" w:lineRule="auto"/>
        <w:ind w:firstLine="420" w:firstLineChars="200"/>
        <w:rPr>
          <w:szCs w:val="21"/>
        </w:rPr>
      </w:pPr>
      <w:r>
        <w:rPr>
          <w:rFonts w:hint="eastAsia" w:asciiTheme="majorEastAsia" w:hAnsiTheme="majorEastAsia" w:eastAsiaTheme="majorEastAsia" w:cstheme="majorEastAsia"/>
          <w:szCs w:val="21"/>
        </w:rPr>
        <w:t>式中，</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为方差，</w:t>
      </w:r>
      <w:r>
        <w:rPr>
          <w:rFonts w:hint="eastAsia" w:asciiTheme="majorEastAsia" w:hAnsiTheme="majorEastAsia" w:eastAsiaTheme="majorEastAsia" w:cstheme="majorEastAsia"/>
          <w:i/>
          <w:szCs w:val="21"/>
        </w:rPr>
        <w:t>n</w:t>
      </w:r>
      <w:r>
        <w:rPr>
          <w:rFonts w:hint="eastAsia" w:asciiTheme="majorEastAsia" w:hAnsiTheme="majorEastAsia" w:eastAsiaTheme="majorEastAsia" w:cstheme="majorEastAsia"/>
          <w:szCs w:val="21"/>
        </w:rPr>
        <w:t>为分析细胞数，</w:t>
      </w:r>
      <w:r>
        <w:rPr>
          <w:rFonts w:hint="eastAsia" w:asciiTheme="majorEastAsia" w:hAnsiTheme="majorEastAsia" w:eastAsiaTheme="majorEastAsia" w:cstheme="majorEastAsia"/>
          <w:position w:val="-14"/>
          <w:szCs w:val="21"/>
        </w:rPr>
        <w:object>
          <v:shape id="_x0000_i1029" o:spt="75" type="#_x0000_t75" style="height:20pt;width:30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rPr>
          <w:rFonts w:hint="eastAsia" w:asciiTheme="majorEastAsia" w:hAnsiTheme="majorEastAsia" w:eastAsiaTheme="majorEastAsia" w:cstheme="majorEastAsia"/>
          <w:szCs w:val="21"/>
        </w:rPr>
        <w:t>为观察到的“dic+r”或dic总数，其中</w:t>
      </w:r>
      <w:r>
        <w:rPr>
          <w:rFonts w:hint="eastAsia" w:asciiTheme="majorEastAsia" w:hAnsiTheme="majorEastAsia" w:eastAsiaTheme="majorEastAsia" w:cstheme="majorEastAsia"/>
          <w:i/>
          <w:szCs w:val="21"/>
        </w:rPr>
        <w:t>x</w:t>
      </w:r>
      <w:r>
        <w:rPr>
          <w:rFonts w:hint="eastAsia" w:asciiTheme="majorEastAsia" w:hAnsiTheme="majorEastAsia" w:eastAsiaTheme="majorEastAsia" w:cstheme="majorEastAsia"/>
          <w:szCs w:val="21"/>
        </w:rPr>
        <w:t>为每细胞含有“dic+r”或dic的个数，</w:t>
      </w:r>
      <w:r>
        <w:rPr>
          <w:rFonts w:hint="eastAsia" w:asciiTheme="majorEastAsia" w:hAnsiTheme="majorEastAsia" w:eastAsiaTheme="majorEastAsia" w:cstheme="majorEastAsia"/>
          <w:i/>
          <w:szCs w:val="21"/>
        </w:rPr>
        <w:t>o</w:t>
      </w:r>
      <w:r>
        <w:rPr>
          <w:rFonts w:hint="eastAsia" w:asciiTheme="majorEastAsia" w:hAnsiTheme="majorEastAsia" w:eastAsiaTheme="majorEastAsia" w:cstheme="majorEastAsia"/>
          <w:szCs w:val="21"/>
        </w:rPr>
        <w:t>为观察的相应细胞数，</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为均值（</w:t>
      </w:r>
      <w:r>
        <w:rPr>
          <w:rFonts w:hint="eastAsia" w:asciiTheme="majorEastAsia" w:hAnsiTheme="majorEastAsia" w:eastAsiaTheme="majorEastAsia" w:cstheme="majorEastAsia"/>
          <w:position w:val="-14"/>
          <w:szCs w:val="21"/>
        </w:rPr>
        <w:object>
          <v:shape id="_x0000_i1030" o:spt="75" type="#_x0000_t75" style="height:20pt;width:30pt;" o:ole="t" filled="f" o:preferrelative="t" stroked="f" coordsize="21600,21600">
            <v:path/>
            <v:fill on="f" focussize="0,0"/>
            <v:stroke on="f" joinstyle="miter"/>
            <v:imagedata r:id="rId21" o:title=""/>
            <o:lock v:ext="edit" aspectratio="t"/>
            <w10:wrap type="none"/>
            <w10:anchorlock/>
          </v:shape>
          <o:OLEObject Type="Embed" ProgID="Equation.3" ShapeID="_x0000_i1030" DrawAspect="Content" ObjectID="_1468075730" r:id="rId22">
            <o:LockedField>false</o:LockedField>
          </o:OLEObject>
        </w:object>
      </w:r>
      <w:r>
        <w:rPr>
          <w:rFonts w:hint="eastAsia" w:asciiTheme="majorEastAsia" w:hAnsiTheme="majorEastAsia" w:eastAsiaTheme="majorEastAsia" w:cstheme="majorEastAsia"/>
          <w:szCs w:val="21"/>
        </w:rPr>
        <w:t>/n）。当均匀照射时“dic+r”或dic符合泊松分布，即</w:t>
      </w:r>
      <w:r>
        <w:rPr>
          <w:rFonts w:hint="eastAsia" w:asciiTheme="majorEastAsia" w:hAnsiTheme="majorEastAsia" w:eastAsiaTheme="majorEastAsia" w:cstheme="majorEastAsia"/>
          <w:i/>
          <w:szCs w:val="21"/>
        </w:rPr>
        <w:t>u</w:t>
      </w:r>
      <w:r>
        <w:rPr>
          <w:rFonts w:hint="eastAsia" w:asciiTheme="majorEastAsia" w:hAnsiTheme="majorEastAsia" w:eastAsiaTheme="majorEastAsia" w:cstheme="majorEastAsia"/>
          <w:szCs w:val="21"/>
        </w:rPr>
        <w:t>值小于1.96，方差与“dic+r”或dic均值（</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）之比接近1.00。而不均匀或局部照射时，</w:t>
      </w:r>
      <w:r>
        <w:rPr>
          <w:rFonts w:hint="eastAsia" w:asciiTheme="majorEastAsia" w:hAnsiTheme="majorEastAsia" w:eastAsiaTheme="majorEastAsia" w:cstheme="majorEastAsia"/>
          <w:szCs w:val="21"/>
          <w:lang w:val="en-US" w:eastAsia="zh-CN"/>
        </w:rPr>
        <w:t>dic</w:t>
      </w:r>
      <w:r>
        <w:rPr>
          <w:rFonts w:hint="eastAsia" w:asciiTheme="majorEastAsia" w:hAnsiTheme="majorEastAsia" w:eastAsiaTheme="majorEastAsia" w:cstheme="majorEastAsia"/>
          <w:szCs w:val="21"/>
        </w:rPr>
        <w:t>不符合泊松分布，</w:t>
      </w:r>
      <w:r>
        <w:rPr>
          <w:rFonts w:hint="eastAsia" w:asciiTheme="majorEastAsia" w:hAnsiTheme="majorEastAsia" w:eastAsiaTheme="majorEastAsia" w:cstheme="majorEastAsia"/>
          <w:i/>
          <w:szCs w:val="21"/>
        </w:rPr>
        <w:t>u</w:t>
      </w:r>
      <w:r>
        <w:rPr>
          <w:rFonts w:hint="eastAsia" w:asciiTheme="majorEastAsia" w:hAnsiTheme="majorEastAsia" w:eastAsiaTheme="majorEastAsia" w:cstheme="majorEastAsia"/>
          <w:szCs w:val="21"/>
        </w:rPr>
        <w:t>值&gt;|1.96|，</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不接近于1.00。</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 xml:space="preserve"> &lt;1.00为欠离散分布，</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 xml:space="preserve"> &gt;1.00为过离散分布。也可以将上述数据输入剂量估算软件CABAS的相应对话框，计算</w:t>
      </w:r>
      <w:r>
        <w:rPr>
          <w:rFonts w:hint="eastAsia" w:asciiTheme="majorEastAsia" w:hAnsiTheme="majorEastAsia" w:eastAsiaTheme="majorEastAsia" w:cstheme="majorEastAsia"/>
          <w:i/>
          <w:szCs w:val="21"/>
        </w:rPr>
        <w:t>u</w:t>
      </w:r>
      <w:r>
        <w:rPr>
          <w:rFonts w:hint="eastAsia" w:asciiTheme="majorEastAsia" w:hAnsiTheme="majorEastAsia" w:eastAsiaTheme="majorEastAsia" w:cstheme="majorEastAsia"/>
          <w:szCs w:val="21"/>
        </w:rPr>
        <w:t>值和</w:t>
      </w:r>
      <w:r>
        <w:rPr>
          <w:rFonts w:hint="eastAsia" w:asciiTheme="majorEastAsia" w:hAnsiTheme="majorEastAsia" w:eastAsiaTheme="majorEastAsia" w:cstheme="majorEastAsia"/>
          <w:i/>
          <w:szCs w:val="21"/>
        </w:rPr>
        <w:t>σ</w:t>
      </w:r>
      <w:r>
        <w:rPr>
          <w:rFonts w:hint="eastAsia" w:asciiTheme="majorEastAsia" w:hAnsiTheme="majorEastAsia" w:eastAsiaTheme="majorEastAsia" w:cstheme="majorEastAsia"/>
          <w:szCs w:val="21"/>
          <w:vertAlign w:val="superscript"/>
        </w:rPr>
        <w:t>2</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i/>
          <w:szCs w:val="21"/>
        </w:rPr>
        <w:t>y</w:t>
      </w:r>
      <w:r>
        <w:rPr>
          <w:rFonts w:hint="eastAsia" w:asciiTheme="majorEastAsia" w:hAnsiTheme="majorEastAsia" w:eastAsiaTheme="majorEastAsia" w:cstheme="majorEastAsia"/>
          <w:szCs w:val="21"/>
        </w:rPr>
        <w:t xml:space="preserve"> </w:t>
      </w:r>
      <w:r>
        <w:rPr>
          <w:rFonts w:hint="eastAsia"/>
          <w:szCs w:val="21"/>
        </w:rPr>
        <w:t>。</w:t>
      </w:r>
    </w:p>
    <w:p w14:paraId="26D77B17">
      <w:pPr>
        <w:spacing w:line="360" w:lineRule="auto"/>
        <w:ind w:firstLine="420" w:firstLineChars="200"/>
        <w:rPr>
          <w:szCs w:val="21"/>
        </w:rPr>
      </w:pPr>
      <w:r>
        <w:rPr>
          <w:rFonts w:hint="eastAsia" w:ascii="黑体" w:hAnsi="黑体" w:eastAsia="黑体" w:cs="黑体"/>
          <w:szCs w:val="21"/>
        </w:rPr>
        <w:t>D.2.2</w:t>
      </w:r>
      <w:r>
        <w:rPr>
          <w:rFonts w:hint="eastAsia"/>
          <w:szCs w:val="21"/>
        </w:rPr>
        <w:t xml:space="preserve"> 不均匀或局部照射身体受照份额及其相应剂量的估算</w:t>
      </w:r>
    </w:p>
    <w:p w14:paraId="2FCFCE57">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在局部或高度不均匀照射时,用染色体畸变分析只能给出全身等效剂量，这种剂量表达方式很不确切。为此，IAEA(2011)推荐用</w:t>
      </w:r>
      <w:r>
        <w:rPr>
          <w:rFonts w:hint="eastAsia" w:asciiTheme="majorEastAsia" w:hAnsiTheme="majorEastAsia" w:eastAsiaTheme="majorEastAsia" w:cstheme="majorEastAsia"/>
          <w:szCs w:val="21"/>
        </w:rPr>
        <w:t>Dolphin’s</w:t>
      </w:r>
      <w:r>
        <w:rPr>
          <w:rFonts w:ascii="Times New Roman" w:hAnsi="Times New Roman" w:cs="Times New Roman"/>
          <w:szCs w:val="21"/>
        </w:rPr>
        <w:t>模型</w:t>
      </w:r>
      <w:r>
        <w:rPr>
          <w:rFonts w:hint="eastAsia" w:ascii="Times New Roman" w:hAnsi="Times New Roman" w:cs="Times New Roman"/>
          <w:szCs w:val="21"/>
          <w:lang w:val="en-US" w:eastAsia="zh-CN"/>
        </w:rPr>
        <w:t>估算</w:t>
      </w:r>
      <w:r>
        <w:rPr>
          <w:rFonts w:hint="eastAsia" w:asciiTheme="minorEastAsia" w:hAnsiTheme="minorEastAsia" w:cstheme="minorEastAsia"/>
          <w:szCs w:val="21"/>
        </w:rPr>
        <w:t>局部或不均匀照射时的受照份额及其相应剂量。</w:t>
      </w:r>
    </w:p>
    <w:p w14:paraId="0EACE78A">
      <w:pPr>
        <w:numPr>
          <w:ilvl w:val="255"/>
          <w:numId w:val="0"/>
        </w:numPr>
        <w:spacing w:line="360" w:lineRule="auto"/>
        <w:ind w:firstLine="420" w:firstLineChars="200"/>
        <w:rPr>
          <w:rFonts w:asciiTheme="majorEastAsia" w:hAnsiTheme="majorEastAsia" w:eastAsiaTheme="majorEastAsia" w:cstheme="majorEastAsia"/>
          <w:szCs w:val="21"/>
        </w:rPr>
      </w:pPr>
      <w:r>
        <w:rPr>
          <w:rFonts w:hint="eastAsia" w:ascii="黑体" w:hAnsi="黑体" w:eastAsia="黑体" w:cs="黑体"/>
          <w:szCs w:val="21"/>
        </w:rPr>
        <w:t xml:space="preserve">D.2.2.1 </w:t>
      </w:r>
      <w:r>
        <w:rPr>
          <w:rFonts w:hint="eastAsia" w:asciiTheme="majorEastAsia" w:hAnsiTheme="majorEastAsia" w:eastAsiaTheme="majorEastAsia" w:cstheme="majorEastAsia"/>
          <w:szCs w:val="21"/>
        </w:rPr>
        <w:t>Dolphin’s模型估算剂量方法</w:t>
      </w:r>
      <w:r>
        <w:rPr>
          <w:rFonts w:hint="eastAsia" w:ascii="Times New Roman" w:hAnsi="Times New Roman" w:cs="Times New Roman"/>
          <w:szCs w:val="21"/>
        </w:rPr>
        <w:t>：又</w:t>
      </w:r>
      <w:r>
        <w:rPr>
          <w:rFonts w:ascii="Times New Roman" w:hAnsi="Times New Roman" w:cs="Times New Roman"/>
          <w:szCs w:val="21"/>
        </w:rPr>
        <w:t>称不纯泊松分布</w:t>
      </w:r>
      <w:r>
        <w:rPr>
          <w:rFonts w:hint="eastAsia" w:ascii="Times New Roman" w:hAnsi="Times New Roman" w:cs="Times New Roman"/>
          <w:szCs w:val="21"/>
        </w:rPr>
        <w:t>（</w:t>
      </w:r>
      <w:r>
        <w:rPr>
          <w:rFonts w:ascii="Times New Roman" w:hAnsi="Times New Roman" w:eastAsia="Times New Roman"/>
          <w:szCs w:val="21"/>
        </w:rPr>
        <w:t>c</w:t>
      </w:r>
      <w:r>
        <w:rPr>
          <w:rFonts w:hint="eastAsia" w:asciiTheme="majorEastAsia" w:hAnsiTheme="majorEastAsia" w:eastAsiaTheme="majorEastAsia" w:cstheme="majorEastAsia"/>
          <w:szCs w:val="21"/>
        </w:rPr>
        <w:t>ontaminated Poisson，CP）法，该模型认为在局部照射条件下，dic在细胞间的分布是受照部分的泊松分布与未受照部分过离散分布的叠加，未照射部分含有的畸变可忽略，该分布与正常泊松分布相比，正常细胞所占份额相对增加，分布过离散。主要用于在dic为过离散分布时局部或不均匀照射的剂量和身体受照份额的估算，而且有报道显示，该模型可以用于因延迟采样对受到不均匀照射受照者的剂量重建。通过计算身体受照部分的平均dic产额</w:t>
      </w:r>
      <w:r>
        <w:rPr>
          <w:rFonts w:hint="eastAsia" w:asciiTheme="majorEastAsia" w:hAnsiTheme="majorEastAsia" w:eastAsiaTheme="majorEastAsia" w:cstheme="majorEastAsia"/>
          <w:i/>
          <w:iCs/>
          <w:szCs w:val="21"/>
        </w:rPr>
        <w:t xml:space="preserve"> y</w:t>
      </w:r>
      <w:r>
        <w:rPr>
          <w:rFonts w:hint="eastAsia" w:asciiTheme="majorEastAsia" w:hAnsiTheme="majorEastAsia" w:eastAsiaTheme="majorEastAsia" w:cstheme="majorEastAsia"/>
          <w:szCs w:val="21"/>
        </w:rPr>
        <w:t>值估算剂量，其公式如下：</w:t>
      </w:r>
    </w:p>
    <w:p w14:paraId="6591E51B">
      <w:pPr>
        <w:spacing w:line="360" w:lineRule="auto"/>
        <w:ind w:firstLine="480" w:firstLineChars="200"/>
        <w:jc w:val="center"/>
        <w:rPr>
          <w:rFonts w:asciiTheme="majorEastAsia" w:hAnsiTheme="majorEastAsia" w:eastAsiaTheme="majorEastAsia" w:cstheme="majorEastAsia"/>
          <w:sz w:val="24"/>
        </w:rPr>
      </w:pPr>
      <w:r>
        <w:rPr>
          <w:rFonts w:hint="eastAsia" w:asciiTheme="majorEastAsia" w:hAnsiTheme="majorEastAsia" w:eastAsiaTheme="majorEastAsia" w:cstheme="majorEastAsia"/>
          <w:position w:val="-30"/>
          <w:sz w:val="24"/>
        </w:rPr>
        <w:object>
          <v:shape id="_x0000_i1031" o:spt="75" type="#_x0000_t75" style="height:33.75pt;width:83.25pt;" o:ole="t" filled="f" o:preferrelative="t" stroked="f" coordsize="21600,21600">
            <v:path/>
            <v:fill on="f" focussize="0,0"/>
            <v:stroke on="f" joinstyle="miter"/>
            <v:imagedata r:id="rId24" o:title=""/>
            <o:lock v:ext="edit" aspectratio="t"/>
            <w10:wrap type="none"/>
            <w10:anchorlock/>
          </v:shape>
          <o:OLEObject Type="Embed" ProgID="Equation.3" ShapeID="_x0000_i1031" DrawAspect="Content" ObjectID="_1468075731" r:id="rId23">
            <o:LockedField>false</o:LockedField>
          </o:OLEObject>
        </w:object>
      </w: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7</w:t>
      </w:r>
      <w:r>
        <w:rPr>
          <w:rFonts w:hint="eastAsia" w:asciiTheme="majorEastAsia" w:hAnsiTheme="majorEastAsia" w:eastAsiaTheme="majorEastAsia" w:cstheme="majorEastAsia"/>
        </w:rPr>
        <w:t>）</w:t>
      </w:r>
    </w:p>
    <w:p w14:paraId="22015720">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式中，</w:t>
      </w:r>
      <w:r>
        <w:rPr>
          <w:rFonts w:hint="eastAsia" w:asciiTheme="majorEastAsia" w:hAnsiTheme="majorEastAsia" w:eastAsiaTheme="majorEastAsia" w:cstheme="majorEastAsia"/>
          <w:i/>
          <w:iCs/>
          <w:szCs w:val="21"/>
        </w:rPr>
        <w:t>y</w:t>
      </w:r>
      <w:r>
        <w:rPr>
          <w:rFonts w:hint="eastAsia" w:asciiTheme="majorEastAsia" w:hAnsiTheme="majorEastAsia" w:eastAsiaTheme="majorEastAsia" w:cstheme="majorEastAsia"/>
          <w:szCs w:val="21"/>
        </w:rPr>
        <w:t>为身体受照部分平均dic产额，</w:t>
      </w:r>
      <w:r>
        <w:rPr>
          <w:rFonts w:hint="eastAsia" w:asciiTheme="majorEastAsia" w:hAnsiTheme="majorEastAsia" w:eastAsiaTheme="majorEastAsia" w:cstheme="majorEastAsia"/>
          <w:i/>
          <w:iCs/>
          <w:szCs w:val="21"/>
        </w:rPr>
        <w:t>X</w:t>
      </w:r>
      <w:r>
        <w:rPr>
          <w:rFonts w:hint="eastAsia" w:asciiTheme="majorEastAsia" w:hAnsiTheme="majorEastAsia" w:eastAsiaTheme="majorEastAsia" w:cstheme="majorEastAsia"/>
          <w:szCs w:val="21"/>
        </w:rPr>
        <w:t>为观察到的dic数，e</w:t>
      </w:r>
      <w:r>
        <w:rPr>
          <w:rFonts w:hint="eastAsia" w:asciiTheme="majorEastAsia" w:hAnsiTheme="majorEastAsia" w:eastAsiaTheme="majorEastAsia" w:cstheme="majorEastAsia"/>
          <w:szCs w:val="21"/>
          <w:vertAlign w:val="superscript"/>
        </w:rPr>
        <w:t>–</w:t>
      </w:r>
      <w:r>
        <w:rPr>
          <w:rFonts w:hint="eastAsia" w:asciiTheme="majorEastAsia" w:hAnsiTheme="majorEastAsia" w:eastAsiaTheme="majorEastAsia" w:cstheme="majorEastAsia"/>
          <w:i/>
          <w:iCs/>
          <w:szCs w:val="21"/>
          <w:vertAlign w:val="superscript"/>
        </w:rPr>
        <w:t>y</w:t>
      </w:r>
      <w:r>
        <w:rPr>
          <w:rFonts w:hint="eastAsia" w:asciiTheme="majorEastAsia" w:hAnsiTheme="majorEastAsia" w:eastAsiaTheme="majorEastAsia" w:cstheme="majorEastAsia"/>
          <w:szCs w:val="21"/>
        </w:rPr>
        <w:t>代表无dic的细胞数，</w:t>
      </w:r>
      <w:r>
        <w:rPr>
          <w:rFonts w:hint="eastAsia" w:asciiTheme="majorEastAsia" w:hAnsiTheme="majorEastAsia" w:eastAsiaTheme="majorEastAsia" w:cstheme="majorEastAsia"/>
          <w:i/>
          <w:iCs/>
          <w:szCs w:val="21"/>
        </w:rPr>
        <w:t>N</w:t>
      </w:r>
      <w:r>
        <w:rPr>
          <w:rFonts w:hint="eastAsia" w:asciiTheme="majorEastAsia" w:hAnsiTheme="majorEastAsia" w:eastAsiaTheme="majorEastAsia" w:cstheme="majorEastAsia"/>
          <w:szCs w:val="21"/>
        </w:rPr>
        <w:t>为观察到的总中期分裂相数，</w:t>
      </w:r>
      <w:r>
        <w:rPr>
          <w:rFonts w:hint="eastAsia" w:asciiTheme="majorEastAsia" w:hAnsiTheme="majorEastAsia" w:eastAsiaTheme="majorEastAsia" w:cstheme="majorEastAsia"/>
          <w:i/>
          <w:iCs/>
          <w:szCs w:val="21"/>
        </w:rPr>
        <w:t>n</w:t>
      </w:r>
      <w:r>
        <w:rPr>
          <w:rFonts w:hint="eastAsia" w:asciiTheme="majorEastAsia" w:hAnsiTheme="majorEastAsia" w:eastAsiaTheme="majorEastAsia" w:cstheme="majorEastAsia"/>
          <w:i w:val="0"/>
          <w:iCs w:val="0"/>
          <w:szCs w:val="21"/>
          <w:vertAlign w:val="subscript"/>
        </w:rPr>
        <w:t>0</w:t>
      </w:r>
      <w:r>
        <w:rPr>
          <w:rFonts w:hint="eastAsia" w:asciiTheme="majorEastAsia" w:hAnsiTheme="majorEastAsia" w:eastAsiaTheme="majorEastAsia" w:cstheme="majorEastAsia"/>
          <w:szCs w:val="21"/>
        </w:rPr>
        <w:t>为不含dic的中期分裂相数</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lang w:val="en-US" w:eastAsia="zh-CN"/>
        </w:rPr>
        <w:t>参见ISO 19328</w:t>
      </w:r>
      <w:r>
        <w:rPr>
          <w:rFonts w:hint="eastAsia" w:asciiTheme="majorEastAsia" w:hAnsiTheme="majorEastAsia" w:eastAsiaTheme="majorEastAsia" w:cstheme="majorEastAsia"/>
          <w:szCs w:val="21"/>
        </w:rPr>
        <w:t>。将计算出的</w:t>
      </w:r>
      <w:r>
        <w:rPr>
          <w:rFonts w:hint="eastAsia" w:asciiTheme="majorEastAsia" w:hAnsiTheme="majorEastAsia" w:eastAsiaTheme="majorEastAsia" w:cstheme="majorEastAsia"/>
          <w:i/>
          <w:iCs/>
          <w:szCs w:val="21"/>
        </w:rPr>
        <w:t>y</w:t>
      </w:r>
      <w:r>
        <w:rPr>
          <w:rFonts w:hint="eastAsia" w:asciiTheme="majorEastAsia" w:hAnsiTheme="majorEastAsia" w:eastAsiaTheme="majorEastAsia" w:cstheme="majorEastAsia"/>
          <w:szCs w:val="21"/>
        </w:rPr>
        <w:t>值代入相应的剂量曲线回归方程，就可估算身体受照份额和局部或平均吸收剂量。也可以将0</w:t>
      </w:r>
      <w:r>
        <w:rPr>
          <w:rFonts w:ascii="Times New Roman" w:hAnsi="Times New Roman" w:cs="Times New Roman" w:eastAsiaTheme="majorEastAsia"/>
          <w:szCs w:val="21"/>
        </w:rPr>
        <w:t>~</w:t>
      </w:r>
      <w:r>
        <w:rPr>
          <w:rFonts w:hint="eastAsia" w:asciiTheme="majorEastAsia" w:hAnsiTheme="majorEastAsia" w:eastAsiaTheme="majorEastAsia" w:cstheme="majorEastAsia"/>
          <w:szCs w:val="21"/>
        </w:rPr>
        <w:t>n个dic数和相应的计数细胞数输入剂量估算软件CABAS的相应对话框，计算身体受照份额和局部或平均吸收剂量。</w:t>
      </w:r>
    </w:p>
    <w:p w14:paraId="592F1498">
      <w:pPr>
        <w:pStyle w:val="17"/>
        <w:tabs>
          <w:tab w:val="center" w:pos="4201"/>
          <w:tab w:val="right" w:leader="dot" w:pos="9298"/>
        </w:tabs>
        <w:spacing w:line="360" w:lineRule="auto"/>
        <w:ind w:firstLine="0" w:firstLineChars="0"/>
        <w:rPr>
          <w:rFonts w:ascii="黑体" w:hAnsi="黑体" w:eastAsia="黑体"/>
          <w:szCs w:val="21"/>
        </w:rPr>
      </w:pPr>
    </w:p>
    <w:p w14:paraId="310E812F">
      <w:pPr>
        <w:pStyle w:val="24"/>
        <w:outlineLvl w:val="9"/>
        <w:rPr>
          <w:rFonts w:hAnsi="黑体"/>
          <w:sz w:val="21"/>
          <w:szCs w:val="21"/>
        </w:rPr>
      </w:pPr>
      <w:bookmarkStart w:id="216" w:name="_Toc19719"/>
      <w:bookmarkStart w:id="217" w:name="_Toc509933873"/>
      <w:bookmarkStart w:id="218" w:name="_Toc510534552"/>
    </w:p>
    <w:p w14:paraId="136E3FCD">
      <w:pPr>
        <w:pStyle w:val="24"/>
        <w:outlineLvl w:val="9"/>
        <w:rPr>
          <w:rFonts w:hAnsi="黑体"/>
          <w:sz w:val="21"/>
          <w:szCs w:val="21"/>
        </w:rPr>
      </w:pPr>
    </w:p>
    <w:p w14:paraId="02A2C51A">
      <w:pPr>
        <w:pStyle w:val="24"/>
        <w:outlineLvl w:val="9"/>
        <w:rPr>
          <w:rFonts w:hAnsi="黑体"/>
          <w:sz w:val="21"/>
          <w:szCs w:val="21"/>
        </w:rPr>
      </w:pPr>
    </w:p>
    <w:p w14:paraId="1150C81E">
      <w:pPr>
        <w:pStyle w:val="24"/>
        <w:outlineLvl w:val="9"/>
        <w:rPr>
          <w:rFonts w:hAnsi="黑体"/>
          <w:sz w:val="21"/>
          <w:szCs w:val="21"/>
        </w:rPr>
      </w:pPr>
    </w:p>
    <w:p w14:paraId="5884D48F">
      <w:pPr>
        <w:pStyle w:val="24"/>
        <w:outlineLvl w:val="9"/>
        <w:rPr>
          <w:rFonts w:hAnsi="黑体"/>
          <w:sz w:val="21"/>
          <w:szCs w:val="21"/>
        </w:rPr>
      </w:pPr>
    </w:p>
    <w:p w14:paraId="739D5434">
      <w:pPr>
        <w:pStyle w:val="24"/>
        <w:outlineLvl w:val="9"/>
        <w:rPr>
          <w:rFonts w:hAnsi="黑体"/>
          <w:sz w:val="21"/>
          <w:szCs w:val="21"/>
        </w:rPr>
      </w:pPr>
    </w:p>
    <w:p w14:paraId="2F6919AF">
      <w:pPr>
        <w:pStyle w:val="24"/>
        <w:outlineLvl w:val="9"/>
        <w:rPr>
          <w:rFonts w:hAnsi="黑体"/>
          <w:sz w:val="21"/>
          <w:szCs w:val="21"/>
        </w:rPr>
      </w:pPr>
    </w:p>
    <w:p w14:paraId="6FFAF971">
      <w:pPr>
        <w:pStyle w:val="24"/>
        <w:outlineLvl w:val="9"/>
        <w:rPr>
          <w:rFonts w:hAnsi="黑体"/>
          <w:sz w:val="21"/>
          <w:szCs w:val="21"/>
        </w:rPr>
      </w:pPr>
    </w:p>
    <w:p w14:paraId="50B9BBC2">
      <w:pPr>
        <w:pStyle w:val="24"/>
        <w:outlineLvl w:val="9"/>
        <w:rPr>
          <w:rFonts w:hAnsi="黑体"/>
          <w:sz w:val="21"/>
          <w:szCs w:val="21"/>
        </w:rPr>
      </w:pPr>
    </w:p>
    <w:p w14:paraId="2720599E">
      <w:pPr>
        <w:pStyle w:val="24"/>
        <w:rPr>
          <w:rFonts w:hint="eastAsia" w:hAnsi="黑体" w:cs="黑体"/>
          <w:kern w:val="2"/>
          <w:sz w:val="21"/>
          <w:szCs w:val="22"/>
        </w:rPr>
      </w:pPr>
      <w:bookmarkStart w:id="219" w:name="_Toc28782"/>
      <w:bookmarkStart w:id="220" w:name="_Toc26681"/>
      <w:r>
        <w:rPr>
          <w:rFonts w:hint="eastAsia" w:hAnsi="黑体" w:cs="黑体"/>
          <w:kern w:val="2"/>
          <w:sz w:val="21"/>
          <w:szCs w:val="22"/>
        </w:rPr>
        <w:t>参 考 文 献</w:t>
      </w:r>
      <w:bookmarkEnd w:id="216"/>
      <w:bookmarkEnd w:id="217"/>
      <w:bookmarkEnd w:id="218"/>
      <w:bookmarkEnd w:id="219"/>
      <w:bookmarkEnd w:id="220"/>
    </w:p>
    <w:p w14:paraId="6398CF90">
      <w:pPr>
        <w:snapToGrid w:val="0"/>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[1] </w:t>
      </w:r>
      <w:r>
        <w:rPr>
          <w:rFonts w:ascii="Times New Roman" w:hAnsi="Times New Roman" w:cs="Times New Roman"/>
        </w:rPr>
        <w:t>International Atomic Energy Agency (IAEA). Cytogenetic dosimetry: applications in preparedness for and response to radiation emergencies - A Manual</w:t>
      </w:r>
      <w:r>
        <w:rPr>
          <w:rFonts w:hint="eastAsia" w:ascii="Times New Roman" w:hAnsi="Times New Roman" w:cs="Times New Roman"/>
        </w:rPr>
        <w:t xml:space="preserve">  </w:t>
      </w:r>
      <w:r>
        <w:rPr>
          <w:rFonts w:ascii="Times New Roman" w:hAnsi="Times New Roman" w:eastAsia="宋体"/>
          <w:szCs w:val="21"/>
        </w:rPr>
        <w:t>[</w:t>
      </w:r>
      <w:r>
        <w:rPr>
          <w:rFonts w:hint="eastAsia" w:ascii="Times New Roman" w:hAnsi="Times New Roman" w:eastAsia="宋体"/>
          <w:szCs w:val="21"/>
        </w:rPr>
        <w:t>R</w:t>
      </w:r>
      <w:r>
        <w:rPr>
          <w:rFonts w:ascii="Times New Roman" w:hAnsi="Times New Roman" w:eastAsia="宋体"/>
          <w:szCs w:val="21"/>
        </w:rPr>
        <w:t>]</w:t>
      </w:r>
      <w:r>
        <w:rPr>
          <w:rFonts w:ascii="Times New Roman" w:hAnsi="Times New Roman" w:cs="Times New Roman"/>
        </w:rPr>
        <w:t>. Technical Document Publications, IAEA,Vienna 2011.</w:t>
      </w:r>
    </w:p>
    <w:p w14:paraId="0E4DB9B1">
      <w:pPr>
        <w:snapToGrid/>
        <w:spacing w:line="360" w:lineRule="auto"/>
        <w:ind w:firstLine="0" w:firstLineChars="0"/>
        <w:jc w:val="left"/>
        <w:rPr>
          <w:rFonts w:ascii="Times New Roman" w:hAnsi="Times New Roman" w:cs="Times New Roman"/>
          <w:sz w:val="24"/>
        </w:rPr>
      </w:pPr>
      <w:r>
        <w:rPr>
          <w:rFonts w:ascii="Times New Roman" w:hAnsi="Times New Roman" w:cs="Times New Roman"/>
          <w:sz w:val="24"/>
        </w:rPr>
        <w:t xml:space="preserve">    [2] </w:t>
      </w:r>
      <w:r>
        <w:rPr>
          <w:rFonts w:ascii="Times New Roman" w:hAnsi="Times New Roman" w:cs="Times New Roman"/>
        </w:rPr>
        <w:t>International Organization for Standardization. Radiation protection - Performance criteria for laboratories performing initial cytogenetic dose assessment of mass casualties in radiological or nuclear emergencies - General principles and application to dicentric assay</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szCs w:val="21"/>
        </w:rPr>
        <w:t>[</w:t>
      </w:r>
      <w:r>
        <w:rPr>
          <w:rFonts w:hint="eastAsia" w:ascii="Times New Roman" w:hAnsi="Times New Roman" w:eastAsia="宋体"/>
          <w:szCs w:val="21"/>
        </w:rPr>
        <w:t>S</w:t>
      </w:r>
      <w:r>
        <w:rPr>
          <w:rFonts w:ascii="Times New Roman" w:hAnsi="Times New Roman" w:eastAsia="宋体"/>
          <w:szCs w:val="21"/>
        </w:rPr>
        <w:t>]</w:t>
      </w:r>
      <w:r>
        <w:rPr>
          <w:rFonts w:ascii="Times New Roman" w:hAnsi="Times New Roman" w:cs="Times New Roman"/>
        </w:rPr>
        <w:t>. ISO 21243, ISO, Geneva, 2022.</w:t>
      </w:r>
    </w:p>
    <w:p w14:paraId="686C6BB7">
      <w:pPr>
        <w:snapToGrid w:val="0"/>
        <w:spacing w:line="360" w:lineRule="auto"/>
        <w:ind w:firstLine="480" w:firstLineChars="200"/>
        <w:jc w:val="left"/>
        <w:rPr>
          <w:rFonts w:ascii="Times New Roman" w:hAnsi="Times New Roman" w:cs="Times New Roman"/>
        </w:rPr>
      </w:pPr>
      <w:r>
        <w:rPr>
          <w:rFonts w:ascii="Times New Roman" w:hAnsi="Times New Roman" w:cs="Times New Roman"/>
          <w:sz w:val="24"/>
        </w:rPr>
        <w:t>[</w:t>
      </w:r>
      <w:r>
        <w:rPr>
          <w:rFonts w:hint="eastAsia" w:ascii="Times New Roman" w:hAnsi="Times New Roman" w:cs="Times New Roman"/>
          <w:sz w:val="24"/>
          <w:lang w:val="en-US" w:eastAsia="zh-CN"/>
        </w:rPr>
        <w:t>3</w:t>
      </w:r>
      <w:r>
        <w:rPr>
          <w:rFonts w:ascii="Times New Roman" w:hAnsi="Times New Roman" w:cs="Times New Roman"/>
          <w:sz w:val="24"/>
        </w:rPr>
        <w:t xml:space="preserve">] </w:t>
      </w:r>
      <w:r>
        <w:rPr>
          <w:rFonts w:ascii="Times New Roman" w:hAnsi="Times New Roman" w:cs="Times New Roman"/>
        </w:rPr>
        <w:t>Deperas J, Szluinska M, Deperas-Kaminska M, et al. CABAS: a freely available PC program for fitting calibration curves in chromosome aberration dosimetry</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szCs w:val="21"/>
        </w:rPr>
        <w:t>[</w:t>
      </w:r>
      <w:r>
        <w:rPr>
          <w:rFonts w:hint="eastAsia" w:ascii="Times New Roman" w:hAnsi="Times New Roman" w:eastAsia="宋体"/>
          <w:szCs w:val="21"/>
        </w:rPr>
        <w:t>J</w:t>
      </w:r>
      <w:r>
        <w:rPr>
          <w:rFonts w:ascii="Times New Roman" w:hAnsi="Times New Roman" w:eastAsia="宋体"/>
          <w:szCs w:val="21"/>
        </w:rPr>
        <w:t>]</w:t>
      </w:r>
      <w:r>
        <w:rPr>
          <w:rFonts w:ascii="Times New Roman" w:hAnsi="Times New Roman" w:cs="Times New Roman"/>
        </w:rPr>
        <w:t xml:space="preserve">. </w:t>
      </w:r>
      <w:r>
        <w:fldChar w:fldCharType="begin"/>
      </w:r>
      <w:r>
        <w:instrText xml:space="preserve"> HYPERLINK "https://www.ncbi.nlm.nih.gov/pubmed/?term=Deperas+J%2C+Szluinska+M%2C+Deperas-Kaminska+M%2C" \o "Radiation protection dosimetry." </w:instrText>
      </w:r>
      <w:r>
        <w:fldChar w:fldCharType="separate"/>
      </w:r>
      <w:r>
        <w:rPr>
          <w:rFonts w:ascii="Times New Roman" w:hAnsi="Times New Roman" w:cs="Times New Roman"/>
        </w:rPr>
        <w:t>Radiat Prot Dosim,</w:t>
      </w:r>
      <w:r>
        <w:rPr>
          <w:rFonts w:ascii="Times New Roman" w:hAnsi="Times New Roman" w:cs="Times New Roman"/>
        </w:rPr>
        <w:fldChar w:fldCharType="end"/>
      </w:r>
      <w:r>
        <w:rPr>
          <w:rFonts w:ascii="Times New Roman" w:hAnsi="Times New Roman" w:cs="Times New Roman"/>
        </w:rPr>
        <w:t> 2007, 124(2): 115-123.</w:t>
      </w:r>
    </w:p>
    <w:p w14:paraId="71CFF2A3">
      <w:pPr>
        <w:snapToGrid w:val="0"/>
        <w:spacing w:line="360" w:lineRule="auto"/>
        <w:ind w:firstLine="480" w:firstLineChars="200"/>
        <w:jc w:val="left"/>
        <w:rPr>
          <w:rFonts w:hint="eastAsia" w:ascii="Times New Roman" w:hAnsi="Times New Roman" w:eastAsia="Merriweather" w:cs="Times New Roman"/>
          <w:bCs/>
          <w:color w:val="212121"/>
          <w:szCs w:val="21"/>
          <w:shd w:val="clear" w:color="auto" w:fill="FFFFFF"/>
        </w:rPr>
      </w:pPr>
      <w:r>
        <w:rPr>
          <w:rFonts w:hint="default" w:ascii="Times New Roman" w:hAnsi="Times New Roman" w:cs="Times New Roman"/>
          <w:sz w:val="24"/>
        </w:rPr>
        <w:t>[</w:t>
      </w:r>
      <w:r>
        <w:rPr>
          <w:rFonts w:hint="eastAsia" w:ascii="Times New Roman" w:hAnsi="Times New Roman" w:cs="Times New Roman"/>
          <w:sz w:val="24"/>
          <w:lang w:val="en-US" w:eastAsia="zh-CN"/>
        </w:rPr>
        <w:t>4</w:t>
      </w:r>
      <w:r>
        <w:rPr>
          <w:rFonts w:hint="default" w:ascii="Times New Roman" w:hAnsi="Times New Roman" w:cs="Times New Roman"/>
          <w:sz w:val="24"/>
        </w:rPr>
        <w:t>]</w:t>
      </w:r>
      <w:r>
        <w:rPr>
          <w:rFonts w:hint="default" w:ascii="Times New Roman" w:hAnsi="Times New Roman" w:cs="Times New Roman"/>
          <w:sz w:val="24"/>
          <w:lang w:val="en-US" w:eastAsia="zh-CN"/>
        </w:rPr>
        <w:t xml:space="preserve"> </w:t>
      </w:r>
      <w:r>
        <w:rPr>
          <w:rFonts w:hint="default" w:ascii="Times New Roman" w:hAnsi="Times New Roman" w:eastAsia="宋体" w:cs="Times New Roman"/>
          <w:i w:val="0"/>
          <w:caps w:val="0"/>
          <w:color w:val="000000"/>
          <w:spacing w:val="0"/>
          <w:kern w:val="0"/>
          <w:sz w:val="21"/>
          <w:szCs w:val="21"/>
          <w:lang w:val="en-US" w:eastAsia="zh-CN" w:bidi="ar"/>
        </w:rPr>
        <w:t>中国核学会核应急医学分会, 中华医学会放射医学与防护学分会, 中华预防医学会放射卫生专业委员会, 中国辐射防护学会核与辐射应急分会</w:t>
      </w:r>
      <w:r>
        <w:rPr>
          <w:rFonts w:hint="eastAsia" w:ascii="Times New Roman" w:hAnsi="Times New Roman" w:eastAsia="宋体" w:cs="Times New Roman"/>
          <w:i w:val="0"/>
          <w:caps w:val="0"/>
          <w:color w:val="000000"/>
          <w:spacing w:val="0"/>
          <w:kern w:val="0"/>
          <w:sz w:val="21"/>
          <w:szCs w:val="21"/>
          <w:lang w:val="en-US" w:eastAsia="zh-CN" w:bidi="ar"/>
        </w:rPr>
        <w:t xml:space="preserve">. </w:t>
      </w:r>
      <w:r>
        <w:rPr>
          <w:rFonts w:hint="default" w:ascii="Times New Roman" w:hAnsi="Times New Roman" w:eastAsia="宋体" w:cs="Times New Roman"/>
          <w:i w:val="0"/>
          <w:caps w:val="0"/>
          <w:color w:val="000000"/>
          <w:spacing w:val="0"/>
          <w:kern w:val="0"/>
          <w:sz w:val="21"/>
          <w:szCs w:val="21"/>
          <w:lang w:val="en-US" w:eastAsia="zh-CN" w:bidi="ar"/>
        </w:rPr>
        <w:t>双着丝粒染色体半自动化分析估算辐射生物剂量专家共识</w:t>
      </w:r>
      <w:r>
        <w:rPr>
          <w:rFonts w:hint="eastAsia" w:ascii="Times New Roman" w:hAnsi="Times New Roman" w:eastAsia="宋体" w:cs="Times New Roman"/>
          <w:i w:val="0"/>
          <w:caps w:val="0"/>
          <w:color w:val="000000"/>
          <w:spacing w:val="0"/>
          <w:kern w:val="0"/>
          <w:sz w:val="21"/>
          <w:szCs w:val="21"/>
          <w:lang w:val="en-US" w:eastAsia="zh-CN" w:bidi="ar"/>
        </w:rPr>
        <w:t xml:space="preserve"> </w:t>
      </w:r>
      <w:r>
        <w:rPr>
          <w:rFonts w:ascii="Times New Roman" w:hAnsi="Times New Roman" w:eastAsia="宋体"/>
          <w:szCs w:val="21"/>
        </w:rPr>
        <w:t>[</w:t>
      </w:r>
      <w:r>
        <w:rPr>
          <w:rFonts w:hint="eastAsia" w:ascii="Times New Roman" w:hAnsi="Times New Roman" w:eastAsia="宋体"/>
          <w:szCs w:val="21"/>
          <w:lang w:val="en-US" w:eastAsia="zh-CN"/>
        </w:rPr>
        <w:t>J</w:t>
      </w:r>
      <w:r>
        <w:rPr>
          <w:rFonts w:ascii="Times New Roman" w:hAnsi="Times New Roman" w:eastAsia="宋体"/>
          <w:szCs w:val="21"/>
        </w:rPr>
        <w:t>]</w:t>
      </w:r>
      <w:r>
        <w:rPr>
          <w:rFonts w:hint="eastAsia" w:ascii="Times New Roman" w:hAnsi="Times New Roman" w:eastAsia="宋体" w:cs="Times New Roman"/>
          <w:i w:val="0"/>
          <w:caps w:val="0"/>
          <w:color w:val="000000"/>
          <w:spacing w:val="0"/>
          <w:kern w:val="0"/>
          <w:sz w:val="21"/>
          <w:szCs w:val="21"/>
          <w:lang w:val="en-US" w:eastAsia="zh-CN" w:bidi="ar"/>
        </w:rPr>
        <w:t xml:space="preserve">. </w:t>
      </w:r>
      <w:r>
        <w:rPr>
          <w:rFonts w:hint="eastAsia" w:ascii="Times New Roman" w:hAnsi="Times New Roman" w:eastAsia="宋体" w:cs="Times New Roman"/>
          <w:i w:val="0"/>
          <w:caps w:val="0"/>
          <w:color w:val="000000"/>
          <w:spacing w:val="0"/>
          <w:kern w:val="0"/>
          <w:sz w:val="21"/>
          <w:szCs w:val="21"/>
          <w:lang w:val="en-US" w:eastAsia="zh-CN" w:bidi="ar"/>
        </w:rPr>
        <w:fldChar w:fldCharType="begin"/>
      </w:r>
      <w:r>
        <w:rPr>
          <w:rFonts w:hint="eastAsia" w:ascii="Times New Roman" w:hAnsi="Times New Roman" w:eastAsia="宋体" w:cs="Times New Roman"/>
          <w:i w:val="0"/>
          <w:caps w:val="0"/>
          <w:color w:val="000000"/>
          <w:spacing w:val="0"/>
          <w:kern w:val="0"/>
          <w:sz w:val="21"/>
          <w:szCs w:val="21"/>
          <w:lang w:val="en-US" w:eastAsia="zh-CN" w:bidi="ar"/>
        </w:rPr>
        <w:instrText xml:space="preserve"> HYPERLINK "http://journal01.magtech.org.cn/Jwk3_fsfh" </w:instrText>
      </w:r>
      <w:r>
        <w:rPr>
          <w:rFonts w:hint="eastAsia" w:ascii="Times New Roman" w:hAnsi="Times New Roman" w:eastAsia="宋体" w:cs="Times New Roman"/>
          <w:i w:val="0"/>
          <w:caps w:val="0"/>
          <w:color w:val="000000"/>
          <w:spacing w:val="0"/>
          <w:kern w:val="0"/>
          <w:sz w:val="21"/>
          <w:szCs w:val="21"/>
          <w:lang w:val="en-US" w:eastAsia="zh-CN" w:bidi="ar"/>
        </w:rPr>
        <w:fldChar w:fldCharType="separate"/>
      </w:r>
      <w:r>
        <w:rPr>
          <w:rFonts w:hint="default" w:ascii="Times New Roman" w:hAnsi="Times New Roman" w:eastAsia="宋体" w:cs="Times New Roman"/>
          <w:i w:val="0"/>
          <w:caps w:val="0"/>
          <w:color w:val="000000"/>
          <w:spacing w:val="0"/>
          <w:kern w:val="0"/>
          <w:sz w:val="21"/>
          <w:szCs w:val="21"/>
          <w:lang w:val="en-US" w:eastAsia="zh-CN" w:bidi="ar"/>
        </w:rPr>
        <w:t>辐射防护</w:t>
      </w:r>
      <w:r>
        <w:rPr>
          <w:rFonts w:hint="default" w:ascii="Times New Roman" w:hAnsi="Times New Roman" w:eastAsia="宋体" w:cs="Times New Roman"/>
          <w:i w:val="0"/>
          <w:caps w:val="0"/>
          <w:color w:val="000000"/>
          <w:spacing w:val="0"/>
          <w:kern w:val="0"/>
          <w:sz w:val="21"/>
          <w:szCs w:val="21"/>
          <w:lang w:val="en-US" w:eastAsia="zh-CN" w:bidi="ar"/>
        </w:rPr>
        <w:fldChar w:fldCharType="end"/>
      </w:r>
      <w:r>
        <w:rPr>
          <w:rFonts w:hint="eastAsia" w:ascii="Times New Roman" w:hAnsi="Times New Roman" w:eastAsia="宋体" w:cs="Times New Roman"/>
          <w:i w:val="0"/>
          <w:caps w:val="0"/>
          <w:color w:val="000000"/>
          <w:spacing w:val="0"/>
          <w:kern w:val="0"/>
          <w:sz w:val="21"/>
          <w:szCs w:val="21"/>
          <w:lang w:val="en-US" w:eastAsia="zh-CN" w:bidi="ar"/>
        </w:rPr>
        <w:t>,</w:t>
      </w:r>
      <w:r>
        <w:rPr>
          <w:rFonts w:hint="default" w:ascii="Times New Roman" w:hAnsi="Times New Roman" w:eastAsia="宋体" w:cs="Times New Roman"/>
          <w:i w:val="0"/>
          <w:caps w:val="0"/>
          <w:color w:val="000000"/>
          <w:spacing w:val="0"/>
          <w:kern w:val="0"/>
          <w:sz w:val="21"/>
          <w:szCs w:val="21"/>
          <w:lang w:val="en-US" w:eastAsia="zh-CN" w:bidi="ar"/>
        </w:rPr>
        <w:t> </w:t>
      </w:r>
      <w:r>
        <w:rPr>
          <w:rFonts w:hint="default" w:ascii="Times New Roman" w:hAnsi="Times New Roman" w:eastAsia="宋体" w:cs="Times New Roman"/>
          <w:i w:val="0"/>
          <w:caps w:val="0"/>
          <w:color w:val="000000"/>
          <w:spacing w:val="0"/>
          <w:kern w:val="0"/>
          <w:sz w:val="21"/>
          <w:szCs w:val="21"/>
          <w:lang w:val="en-US" w:eastAsia="zh-CN" w:bidi="ar"/>
        </w:rPr>
        <w:fldChar w:fldCharType="begin"/>
      </w:r>
      <w:r>
        <w:rPr>
          <w:rFonts w:hint="default" w:ascii="Times New Roman" w:hAnsi="Times New Roman" w:eastAsia="宋体" w:cs="Times New Roman"/>
          <w:i w:val="0"/>
          <w:caps w:val="0"/>
          <w:color w:val="000000"/>
          <w:spacing w:val="0"/>
          <w:kern w:val="0"/>
          <w:sz w:val="21"/>
          <w:szCs w:val="21"/>
          <w:lang w:val="en-US" w:eastAsia="zh-CN" w:bidi="ar"/>
        </w:rPr>
        <w:instrText xml:space="preserve"> HYPERLINK "http://journal01.magtech.org.cn/Jwk3_fsfh/CN/article/showTenYearVolumnDetail.do?nian=2024" </w:instrText>
      </w:r>
      <w:r>
        <w:rPr>
          <w:rFonts w:hint="default" w:ascii="Times New Roman" w:hAnsi="Times New Roman" w:eastAsia="宋体" w:cs="Times New Roman"/>
          <w:i w:val="0"/>
          <w:caps w:val="0"/>
          <w:color w:val="000000"/>
          <w:spacing w:val="0"/>
          <w:kern w:val="0"/>
          <w:sz w:val="21"/>
          <w:szCs w:val="21"/>
          <w:lang w:val="en-US" w:eastAsia="zh-CN" w:bidi="ar"/>
        </w:rPr>
        <w:fldChar w:fldCharType="separate"/>
      </w:r>
      <w:r>
        <w:rPr>
          <w:rFonts w:hint="default" w:ascii="Times New Roman" w:hAnsi="Times New Roman" w:eastAsia="宋体" w:cs="Times New Roman"/>
          <w:i w:val="0"/>
          <w:caps w:val="0"/>
          <w:color w:val="000000"/>
          <w:spacing w:val="0"/>
          <w:kern w:val="0"/>
          <w:sz w:val="21"/>
          <w:szCs w:val="21"/>
          <w:lang w:val="en-US" w:eastAsia="zh-CN" w:bidi="ar"/>
        </w:rPr>
        <w:t>2024</w:t>
      </w:r>
      <w:r>
        <w:rPr>
          <w:rFonts w:hint="default" w:ascii="Times New Roman" w:hAnsi="Times New Roman" w:eastAsia="宋体" w:cs="Times New Roman"/>
          <w:i w:val="0"/>
          <w:caps w:val="0"/>
          <w:color w:val="000000"/>
          <w:spacing w:val="0"/>
          <w:kern w:val="0"/>
          <w:sz w:val="21"/>
          <w:szCs w:val="21"/>
          <w:lang w:val="en-US" w:eastAsia="zh-CN" w:bidi="ar"/>
        </w:rPr>
        <w:fldChar w:fldCharType="end"/>
      </w:r>
      <w:r>
        <w:rPr>
          <w:rFonts w:hint="default" w:ascii="Times New Roman" w:hAnsi="Times New Roman" w:eastAsia="宋体" w:cs="Times New Roman"/>
          <w:i w:val="0"/>
          <w:caps w:val="0"/>
          <w:color w:val="000000"/>
          <w:spacing w:val="0"/>
          <w:kern w:val="0"/>
          <w:sz w:val="21"/>
          <w:szCs w:val="21"/>
          <w:lang w:val="en-US" w:eastAsia="zh-CN" w:bidi="ar"/>
        </w:rPr>
        <w:t>, </w:t>
      </w:r>
      <w:r>
        <w:rPr>
          <w:rFonts w:hint="eastAsia" w:ascii="Times New Roman" w:hAnsi="Times New Roman" w:eastAsia="宋体" w:cs="Times New Roman"/>
          <w:i w:val="0"/>
          <w:caps w:val="0"/>
          <w:color w:val="000000"/>
          <w:spacing w:val="0"/>
          <w:kern w:val="0"/>
          <w:sz w:val="21"/>
          <w:szCs w:val="21"/>
          <w:lang w:val="en-US" w:eastAsia="zh-CN" w:bidi="ar"/>
        </w:rPr>
        <w:t>44(3):</w:t>
      </w:r>
      <w:r>
        <w:rPr>
          <w:rFonts w:hint="default" w:ascii="Times New Roman" w:hAnsi="Times New Roman" w:eastAsia="宋体" w:cs="Times New Roman"/>
          <w:i w:val="0"/>
          <w:caps w:val="0"/>
          <w:color w:val="000000"/>
          <w:spacing w:val="0"/>
          <w:kern w:val="0"/>
          <w:sz w:val="21"/>
          <w:szCs w:val="21"/>
          <w:lang w:val="en-US" w:eastAsia="zh-CN" w:bidi="ar"/>
        </w:rPr>
        <w:t xml:space="preserve"> 199-209</w:t>
      </w:r>
      <w:r>
        <w:rPr>
          <w:rFonts w:hint="eastAsia" w:ascii="Times New Roman" w:hAnsi="Times New Roman" w:eastAsia="宋体" w:cs="Times New Roman"/>
          <w:i w:val="0"/>
          <w:caps w:val="0"/>
          <w:color w:val="000000"/>
          <w:spacing w:val="0"/>
          <w:kern w:val="0"/>
          <w:sz w:val="21"/>
          <w:szCs w:val="21"/>
          <w:lang w:val="en-US" w:eastAsia="zh-CN" w:bidi="ar"/>
        </w:rPr>
        <w:t>.</w:t>
      </w:r>
    </w:p>
    <w:p w14:paraId="3202F94A">
      <w:pPr>
        <w:pStyle w:val="17"/>
        <w:ind w:firstLine="420"/>
      </w:pPr>
    </w:p>
    <w:tbl>
      <w:tblPr>
        <w:tblStyle w:val="10"/>
        <w:tblW w:w="9379" w:type="dxa"/>
        <w:tblInd w:w="102" w:type="dxa"/>
        <w:tblLayout w:type="fixed"/>
        <w:tblCellMar>
          <w:top w:w="0" w:type="dxa"/>
          <w:left w:w="108" w:type="dxa"/>
          <w:bottom w:w="0" w:type="dxa"/>
          <w:right w:w="108" w:type="dxa"/>
        </w:tblCellMar>
      </w:tblPr>
      <w:tblGrid>
        <w:gridCol w:w="3088"/>
        <w:gridCol w:w="3190"/>
        <w:gridCol w:w="3101"/>
      </w:tblGrid>
      <w:tr w14:paraId="131D2199">
        <w:tblPrEx>
          <w:tblCellMar>
            <w:top w:w="0" w:type="dxa"/>
            <w:left w:w="108" w:type="dxa"/>
            <w:bottom w:w="0" w:type="dxa"/>
            <w:right w:w="108" w:type="dxa"/>
          </w:tblCellMar>
        </w:tblPrEx>
        <w:trPr>
          <w:trHeight w:val="464" w:hRule="atLeast"/>
        </w:trPr>
        <w:tc>
          <w:tcPr>
            <w:tcW w:w="3088" w:type="dxa"/>
            <w:tcBorders>
              <w:top w:val="nil"/>
              <w:left w:val="nil"/>
              <w:bottom w:val="nil"/>
              <w:right w:val="nil"/>
            </w:tcBorders>
          </w:tcPr>
          <w:p w14:paraId="38011BDC">
            <w:pPr>
              <w:pStyle w:val="17"/>
              <w:ind w:firstLine="420"/>
            </w:pPr>
          </w:p>
        </w:tc>
        <w:tc>
          <w:tcPr>
            <w:tcW w:w="3190" w:type="dxa"/>
            <w:tcBorders>
              <w:top w:val="nil"/>
              <w:left w:val="nil"/>
              <w:bottom w:val="single" w:color="auto" w:sz="4" w:space="0"/>
              <w:right w:val="nil"/>
            </w:tcBorders>
          </w:tcPr>
          <w:p w14:paraId="349C31FD">
            <w:pPr>
              <w:spacing w:line="240" w:lineRule="atLeast"/>
              <w:ind w:firstLine="420"/>
            </w:pPr>
          </w:p>
          <w:p w14:paraId="53835213">
            <w:pPr>
              <w:spacing w:line="240" w:lineRule="atLeast"/>
            </w:pPr>
          </w:p>
          <w:p w14:paraId="0FDC096C">
            <w:pPr>
              <w:spacing w:line="240" w:lineRule="atLeast"/>
            </w:pPr>
          </w:p>
        </w:tc>
        <w:tc>
          <w:tcPr>
            <w:tcW w:w="3101" w:type="dxa"/>
            <w:tcBorders>
              <w:top w:val="nil"/>
              <w:left w:val="nil"/>
              <w:bottom w:val="nil"/>
              <w:right w:val="nil"/>
            </w:tcBorders>
          </w:tcPr>
          <w:p w14:paraId="2EFE14AF">
            <w:pPr>
              <w:spacing w:line="240" w:lineRule="atLeast"/>
              <w:ind w:firstLine="420"/>
            </w:pPr>
          </w:p>
        </w:tc>
      </w:tr>
    </w:tbl>
    <w:p w14:paraId="3078DE56">
      <w:pPr>
        <w:jc w:val="left"/>
        <w:rPr>
          <w:rFonts w:ascii="仿宋" w:hAnsi="仿宋" w:eastAsia="仿宋"/>
          <w:sz w:val="30"/>
          <w:szCs w:val="30"/>
        </w:rPr>
      </w:pPr>
    </w:p>
    <w:sectPr>
      <w:footerReference r:id="rId5" w:type="default"/>
      <w:pgSz w:w="11906" w:h="16838"/>
      <w:pgMar w:top="1440" w:right="1797" w:bottom="1440" w:left="1797"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DY106+ZHJCZR-106">
    <w:altName w:val="Times New Roman"/>
    <w:panose1 w:val="00000000000000000000"/>
    <w:charset w:val="00"/>
    <w:family w:val="auto"/>
    <w:pitch w:val="default"/>
    <w:sig w:usb0="00000000" w:usb1="00000000" w:usb2="00000000" w:usb3="00000000" w:csb0="00000001" w:csb1="00000000"/>
  </w:font>
  <w:font w:name="Merriweather">
    <w:altName w:val="Segoe Print"/>
    <w:panose1 w:val="00000000000000000000"/>
    <w:charset w:val="00"/>
    <w:family w:val="auto"/>
    <w:pitch w:val="default"/>
    <w:sig w:usb0="00000000" w:usb1="00000000" w:usb2="00000000" w:usb3="00000000" w:csb0="00000197"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DAA9F">
    <w:pPr>
      <w:pStyle w:val="5"/>
      <w:jc w:val="center"/>
      <w:rPr>
        <w:rFonts w:ascii="Times New Roman" w:hAnsi="Times New Roman" w:cs="Times New Roman"/>
        <w:sz w:val="22"/>
        <w:szCs w:val="22"/>
      </w:rPr>
    </w:pPr>
    <w:r>
      <w:rPr>
        <w:sz w:val="22"/>
        <w:szCs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6888B">
                          <w:pPr>
                            <w:pStyle w:val="5"/>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2E26888B">
                    <w:pPr>
                      <w:pStyle w:val="5"/>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3</w:t>
                    </w:r>
                    <w:r>
                      <w:rPr>
                        <w:rFonts w:ascii="Times New Roman" w:hAnsi="Times New Roman" w:cs="Times New Roman"/>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6EBEA">
    <w:pPr>
      <w:pStyle w:val="5"/>
      <w:jc w:val="center"/>
      <w:rPr>
        <w:rFonts w:ascii="Times New Roman" w:hAnsi="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C4D0FD">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25C4D0FD">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6555E">
    <w:pPr>
      <w:pStyle w:val="6"/>
      <w:tabs>
        <w:tab w:val="left" w:pos="11270"/>
      </w:tabs>
      <w:wordWrap w:val="0"/>
      <w:jc w:val="both"/>
      <w:rPr>
        <w:rFonts w:ascii="黑体" w:hAnsi="黑体" w:eastAsia="黑体"/>
        <w:sz w:val="21"/>
        <w:szCs w:val="21"/>
      </w:rPr>
    </w:pPr>
    <w:r>
      <w:rPr>
        <w:rFonts w:ascii="黑体" w:hAnsi="黑体" w:eastAsia="黑体"/>
        <w:sz w:val="21"/>
        <w:szCs w:val="21"/>
      </w:rPr>
      <w:tab/>
    </w:r>
    <w:r>
      <w:rPr>
        <w:rFonts w:ascii="黑体" w:hAnsi="黑体" w:eastAsia="黑体"/>
        <w:sz w:val="21"/>
        <w:szCs w:val="21"/>
      </w:rPr>
      <w:tab/>
    </w:r>
    <w:r>
      <w:rPr>
        <w:rFonts w:ascii="黑体" w:hAnsi="黑体" w:eastAsia="黑体"/>
        <w:sz w:val="21"/>
        <w:szCs w:val="21"/>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3"/>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284"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603797C"/>
    <w:multiLevelType w:val="multilevel"/>
    <w:tmpl w:val="5603797C"/>
    <w:lvl w:ilvl="0" w:tentative="0">
      <w:start w:val="1"/>
      <w:numFmt w:val="upperLetter"/>
      <w:suff w:val="space"/>
      <w:lvlText w:val="%1"/>
      <w:lvlJc w:val="left"/>
      <w:pPr>
        <w:ind w:left="425" w:hanging="425"/>
      </w:pPr>
      <w:rPr>
        <w:rFonts w:hint="eastAsia"/>
      </w:rPr>
    </w:lvl>
    <w:lvl w:ilvl="1" w:tentative="0">
      <w:start w:val="1"/>
      <w:numFmt w:val="decimal"/>
      <w:pStyle w:val="45"/>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657D3FBC"/>
    <w:multiLevelType w:val="multilevel"/>
    <w:tmpl w:val="657D3FBC"/>
    <w:lvl w:ilvl="0" w:tentative="0">
      <w:start w:val="1"/>
      <w:numFmt w:val="upperLetter"/>
      <w:pStyle w:val="42"/>
      <w:suff w:val="nothing"/>
      <w:lvlText w:val="附录%1"/>
      <w:lvlJc w:val="left"/>
      <w:pPr>
        <w:ind w:left="0" w:firstLine="0"/>
      </w:pPr>
      <w:rPr>
        <w:rFonts w:hint="eastAsia"/>
        <w:spacing w:val="100"/>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CEA2025"/>
    <w:multiLevelType w:val="multilevel"/>
    <w:tmpl w:val="6CEA2025"/>
    <w:lvl w:ilvl="0" w:tentative="0">
      <w:start w:val="1"/>
      <w:numFmt w:val="none"/>
      <w:pStyle w:val="24"/>
      <w:suff w:val="nothing"/>
      <w:lvlText w:val="%1"/>
      <w:lvlJc w:val="left"/>
      <w:pPr>
        <w:ind w:left="0" w:firstLine="0"/>
      </w:pPr>
      <w:rPr>
        <w:rFonts w:hint="default" w:ascii="Times New Roman" w:hAnsi="Times New Roman"/>
        <w:b/>
        <w:i w:val="0"/>
        <w:sz w:val="21"/>
      </w:rPr>
    </w:lvl>
    <w:lvl w:ilvl="1" w:tentative="0">
      <w:start w:val="1"/>
      <w:numFmt w:val="decimal"/>
      <w:pStyle w:val="40"/>
      <w:suff w:val="nothing"/>
      <w:lvlText w:val="%1%2　"/>
      <w:lvlJc w:val="left"/>
      <w:pPr>
        <w:ind w:left="360" w:firstLine="0"/>
      </w:pPr>
      <w:rPr>
        <w:rFonts w:hint="eastAsia" w:ascii="黑体" w:hAnsi="Times New Roman" w:eastAsia="黑体"/>
        <w:b w:val="0"/>
        <w:i w:val="0"/>
        <w:sz w:val="21"/>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pStyle w:val="41"/>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54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xZTVlN2MwMmYzNTUwODA0NzlkN2M3ZDNjMmUyZmUifQ=="/>
  </w:docVars>
  <w:rsids>
    <w:rsidRoot w:val="00BC7831"/>
    <w:rsid w:val="00016417"/>
    <w:rsid w:val="00051519"/>
    <w:rsid w:val="00053659"/>
    <w:rsid w:val="00060D8E"/>
    <w:rsid w:val="000C29F0"/>
    <w:rsid w:val="000F1177"/>
    <w:rsid w:val="000F3546"/>
    <w:rsid w:val="00101828"/>
    <w:rsid w:val="0011064A"/>
    <w:rsid w:val="00195740"/>
    <w:rsid w:val="00195EBA"/>
    <w:rsid w:val="001A33E4"/>
    <w:rsid w:val="001E3CBE"/>
    <w:rsid w:val="001E4470"/>
    <w:rsid w:val="00210EDC"/>
    <w:rsid w:val="00226F03"/>
    <w:rsid w:val="002568DB"/>
    <w:rsid w:val="002A716C"/>
    <w:rsid w:val="002D1620"/>
    <w:rsid w:val="0034011E"/>
    <w:rsid w:val="00435258"/>
    <w:rsid w:val="00467DE9"/>
    <w:rsid w:val="004A0E49"/>
    <w:rsid w:val="005A4262"/>
    <w:rsid w:val="005B63FD"/>
    <w:rsid w:val="005C4D5C"/>
    <w:rsid w:val="005D718A"/>
    <w:rsid w:val="005E4503"/>
    <w:rsid w:val="005F249D"/>
    <w:rsid w:val="005F72FB"/>
    <w:rsid w:val="00670459"/>
    <w:rsid w:val="00673E36"/>
    <w:rsid w:val="00692CC5"/>
    <w:rsid w:val="006E4104"/>
    <w:rsid w:val="006E78C3"/>
    <w:rsid w:val="00754AD5"/>
    <w:rsid w:val="007558D6"/>
    <w:rsid w:val="007A732B"/>
    <w:rsid w:val="007D24E9"/>
    <w:rsid w:val="00826483"/>
    <w:rsid w:val="008B1166"/>
    <w:rsid w:val="008D309F"/>
    <w:rsid w:val="00931243"/>
    <w:rsid w:val="00970892"/>
    <w:rsid w:val="009807BE"/>
    <w:rsid w:val="00984ED3"/>
    <w:rsid w:val="009978A6"/>
    <w:rsid w:val="009C6235"/>
    <w:rsid w:val="00A93EB2"/>
    <w:rsid w:val="00A97710"/>
    <w:rsid w:val="00AB3964"/>
    <w:rsid w:val="00AB3E24"/>
    <w:rsid w:val="00B530B7"/>
    <w:rsid w:val="00B5365B"/>
    <w:rsid w:val="00BA0B61"/>
    <w:rsid w:val="00BB49F7"/>
    <w:rsid w:val="00BC7831"/>
    <w:rsid w:val="00C553DB"/>
    <w:rsid w:val="00C87104"/>
    <w:rsid w:val="00D62642"/>
    <w:rsid w:val="00D70986"/>
    <w:rsid w:val="00DA744C"/>
    <w:rsid w:val="00DE1D6D"/>
    <w:rsid w:val="00E220C6"/>
    <w:rsid w:val="00E60530"/>
    <w:rsid w:val="00F024E8"/>
    <w:rsid w:val="00F10A24"/>
    <w:rsid w:val="00F51C34"/>
    <w:rsid w:val="00F948F3"/>
    <w:rsid w:val="025122A3"/>
    <w:rsid w:val="0389522B"/>
    <w:rsid w:val="04207C9C"/>
    <w:rsid w:val="04CE096B"/>
    <w:rsid w:val="055918A0"/>
    <w:rsid w:val="075F5104"/>
    <w:rsid w:val="0765134C"/>
    <w:rsid w:val="07DA4978"/>
    <w:rsid w:val="0B40498A"/>
    <w:rsid w:val="0E40573F"/>
    <w:rsid w:val="0EB64989"/>
    <w:rsid w:val="0FC87F6E"/>
    <w:rsid w:val="126E3080"/>
    <w:rsid w:val="13E41731"/>
    <w:rsid w:val="15121B19"/>
    <w:rsid w:val="15542266"/>
    <w:rsid w:val="1D872236"/>
    <w:rsid w:val="209C5EC2"/>
    <w:rsid w:val="26B66697"/>
    <w:rsid w:val="280F5652"/>
    <w:rsid w:val="2A624A5E"/>
    <w:rsid w:val="2C813A6B"/>
    <w:rsid w:val="2E1B5710"/>
    <w:rsid w:val="35744B16"/>
    <w:rsid w:val="3CD5695B"/>
    <w:rsid w:val="3DE667BA"/>
    <w:rsid w:val="3EB8112F"/>
    <w:rsid w:val="40A42B56"/>
    <w:rsid w:val="40F05BB2"/>
    <w:rsid w:val="42990580"/>
    <w:rsid w:val="43D002B7"/>
    <w:rsid w:val="461941F9"/>
    <w:rsid w:val="48994F34"/>
    <w:rsid w:val="48B07E11"/>
    <w:rsid w:val="4D512301"/>
    <w:rsid w:val="4D726C38"/>
    <w:rsid w:val="4F706896"/>
    <w:rsid w:val="52455A97"/>
    <w:rsid w:val="534B4833"/>
    <w:rsid w:val="542520CE"/>
    <w:rsid w:val="57501B41"/>
    <w:rsid w:val="58534AEF"/>
    <w:rsid w:val="585970DA"/>
    <w:rsid w:val="58D807E5"/>
    <w:rsid w:val="5A317807"/>
    <w:rsid w:val="5F4928FF"/>
    <w:rsid w:val="5F9B47C2"/>
    <w:rsid w:val="619863BE"/>
    <w:rsid w:val="632A7469"/>
    <w:rsid w:val="63B90B01"/>
    <w:rsid w:val="683D6FAF"/>
    <w:rsid w:val="6B783E88"/>
    <w:rsid w:val="6BC66966"/>
    <w:rsid w:val="6D8D0DA1"/>
    <w:rsid w:val="6F771834"/>
    <w:rsid w:val="72C95F43"/>
    <w:rsid w:val="74BA243B"/>
    <w:rsid w:val="775B5A6C"/>
    <w:rsid w:val="77B05B09"/>
    <w:rsid w:val="7A682979"/>
    <w:rsid w:val="7AED37BA"/>
    <w:rsid w:val="7C375603"/>
    <w:rsid w:val="7E0D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12">
    <w:name w:val="Default Paragraph Font"/>
    <w:unhideWhenUsed/>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Body Text 3"/>
    <w:basedOn w:val="1"/>
    <w:link w:val="14"/>
    <w:qFormat/>
    <w:uiPriority w:val="0"/>
    <w:pPr>
      <w:widowControl/>
    </w:pPr>
    <w:rPr>
      <w:rFonts w:ascii="Times New Roman" w:hAnsi="Times New Roman" w:eastAsia="仿宋_GB2312" w:cs="Times New Roman"/>
      <w:kern w:val="0"/>
      <w:sz w:val="28"/>
      <w:szCs w:val="20"/>
    </w:rPr>
  </w:style>
  <w:style w:type="paragraph" w:styleId="4">
    <w:name w:val="Balloon Text"/>
    <w:basedOn w:val="1"/>
    <w:link w:val="30"/>
    <w:unhideWhenUsed/>
    <w:qFormat/>
    <w:uiPriority w:val="99"/>
    <w:rPr>
      <w:sz w:val="18"/>
      <w:szCs w:val="18"/>
    </w:rPr>
  </w:style>
  <w:style w:type="paragraph" w:styleId="5">
    <w:name w:val="footer"/>
    <w:basedOn w:val="1"/>
    <w:link w:val="27"/>
    <w:unhideWhenUsed/>
    <w:qFormat/>
    <w:uiPriority w:val="99"/>
    <w:pPr>
      <w:tabs>
        <w:tab w:val="center" w:pos="4153"/>
        <w:tab w:val="right" w:pos="8306"/>
      </w:tabs>
      <w:snapToGrid w:val="0"/>
      <w:jc w:val="left"/>
    </w:pPr>
    <w:rPr>
      <w:sz w:val="18"/>
      <w:szCs w:val="18"/>
    </w:rPr>
  </w:style>
  <w:style w:type="paragraph" w:styleId="6">
    <w:name w:val="header"/>
    <w:basedOn w:val="1"/>
    <w:link w:val="26"/>
    <w:qFormat/>
    <w:uiPriority w:val="99"/>
    <w:pPr>
      <w:tabs>
        <w:tab w:val="center" w:pos="4153"/>
        <w:tab w:val="right" w:pos="8306"/>
      </w:tabs>
      <w:snapToGrid w:val="0"/>
      <w:jc w:val="center"/>
    </w:pPr>
    <w:rPr>
      <w:rFonts w:ascii="Times New Roman" w:hAnsi="Times New Roman" w:eastAsia="宋体" w:cs="Times New Roman"/>
      <w:sz w:val="18"/>
      <w:szCs w:val="18"/>
    </w:rPr>
  </w:style>
  <w:style w:type="paragraph" w:styleId="7">
    <w:name w:val="toc 1"/>
    <w:next w:val="1"/>
    <w:qFormat/>
    <w:uiPriority w:val="39"/>
    <w:pPr>
      <w:widowControl w:val="0"/>
      <w:spacing w:before="240" w:after="120"/>
    </w:pPr>
    <w:rPr>
      <w:rFonts w:ascii="等线" w:hAnsi="Times New Roman" w:eastAsia="等线" w:cs="Times New Roman"/>
      <w:b/>
      <w:bCs/>
      <w:kern w:val="2"/>
      <w:lang w:val="en-US" w:eastAsia="zh-CN" w:bidi="ar-SA"/>
    </w:rPr>
  </w:style>
  <w:style w:type="paragraph" w:styleId="8">
    <w:name w:val="toc 2"/>
    <w:basedOn w:val="1"/>
    <w:next w:val="1"/>
    <w:unhideWhenUsed/>
    <w:qFormat/>
    <w:uiPriority w:val="39"/>
    <w:pPr>
      <w:ind w:left="420" w:leftChars="200"/>
    </w:p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正文文本 3 字符"/>
    <w:basedOn w:val="12"/>
    <w:link w:val="3"/>
    <w:qFormat/>
    <w:uiPriority w:val="0"/>
    <w:rPr>
      <w:rFonts w:ascii="Times New Roman" w:hAnsi="Times New Roman" w:eastAsia="仿宋_GB2312" w:cs="Times New Roman"/>
      <w:kern w:val="0"/>
      <w:sz w:val="28"/>
      <w:szCs w:val="20"/>
    </w:rPr>
  </w:style>
  <w:style w:type="character" w:customStyle="1" w:styleId="15">
    <w:name w:val="章标题 Char"/>
    <w:link w:val="16"/>
    <w:qFormat/>
    <w:uiPriority w:val="0"/>
    <w:rPr>
      <w:rFonts w:ascii="黑体" w:eastAsia="黑体"/>
      <w:kern w:val="2"/>
      <w:sz w:val="21"/>
      <w:szCs w:val="22"/>
    </w:rPr>
  </w:style>
  <w:style w:type="paragraph" w:customStyle="1" w:styleId="16">
    <w:name w:val="章标题"/>
    <w:next w:val="17"/>
    <w:link w:val="15"/>
    <w:qFormat/>
    <w:uiPriority w:val="0"/>
    <w:pPr>
      <w:spacing w:beforeLines="50" w:afterLines="50"/>
      <w:ind w:left="360"/>
      <w:jc w:val="both"/>
      <w:outlineLvl w:val="1"/>
    </w:pPr>
    <w:rPr>
      <w:rFonts w:ascii="黑体" w:eastAsia="黑体" w:hAnsiTheme="minorHAnsi" w:cstheme="minorBidi"/>
      <w:kern w:val="2"/>
      <w:sz w:val="21"/>
      <w:szCs w:val="22"/>
      <w:lang w:val="en-US" w:eastAsia="zh-CN" w:bidi="ar-SA"/>
    </w:rPr>
  </w:style>
  <w:style w:type="paragraph" w:customStyle="1" w:styleId="17">
    <w:name w:val="段"/>
    <w:link w:val="3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8">
    <w:name w:val="一级条标题 Char"/>
    <w:link w:val="19"/>
    <w:qFormat/>
    <w:uiPriority w:val="0"/>
    <w:rPr>
      <w:rFonts w:eastAsia="黑体"/>
      <w:kern w:val="2"/>
      <w:sz w:val="21"/>
      <w:szCs w:val="22"/>
    </w:rPr>
  </w:style>
  <w:style w:type="paragraph" w:customStyle="1" w:styleId="19">
    <w:name w:val="一级条标题"/>
    <w:next w:val="17"/>
    <w:link w:val="18"/>
    <w:qFormat/>
    <w:uiPriority w:val="0"/>
    <w:pPr>
      <w:outlineLvl w:val="2"/>
    </w:pPr>
    <w:rPr>
      <w:rFonts w:eastAsia="黑体" w:asciiTheme="minorHAnsi" w:hAnsiTheme="minorHAnsi" w:cstheme="minorBidi"/>
      <w:kern w:val="2"/>
      <w:sz w:val="21"/>
      <w:szCs w:val="22"/>
      <w:lang w:val="en-US" w:eastAsia="zh-CN" w:bidi="ar-SA"/>
    </w:rPr>
  </w:style>
  <w:style w:type="character" w:customStyle="1" w:styleId="20">
    <w:name w:val="页眉 Char"/>
    <w:basedOn w:val="12"/>
    <w:semiHidden/>
    <w:qFormat/>
    <w:uiPriority w:val="99"/>
    <w:rPr>
      <w:sz w:val="18"/>
      <w:szCs w:val="18"/>
    </w:rPr>
  </w:style>
  <w:style w:type="paragraph" w:customStyle="1" w:styleId="21">
    <w:name w:val="目次、标准名称标题"/>
    <w:basedOn w:val="1"/>
    <w:next w:val="1"/>
    <w:qFormat/>
    <w:uiPriority w:val="0"/>
    <w:pPr>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22">
    <w:name w:val="二级条标题"/>
    <w:basedOn w:val="19"/>
    <w:next w:val="17"/>
    <w:qFormat/>
    <w:uiPriority w:val="0"/>
    <w:pPr>
      <w:tabs>
        <w:tab w:val="left" w:pos="435"/>
      </w:tabs>
      <w:ind w:left="435" w:hanging="435"/>
      <w:outlineLvl w:val="3"/>
    </w:pPr>
  </w:style>
  <w:style w:type="paragraph" w:customStyle="1" w:styleId="23">
    <w:name w:val="注：（正文）"/>
    <w:basedOn w:val="1"/>
    <w:next w:val="17"/>
    <w:qFormat/>
    <w:uiPriority w:val="0"/>
    <w:pPr>
      <w:numPr>
        <w:ilvl w:val="0"/>
        <w:numId w:val="1"/>
      </w:numPr>
      <w:tabs>
        <w:tab w:val="left" w:pos="1080"/>
      </w:tabs>
      <w:autoSpaceDE w:val="0"/>
      <w:autoSpaceDN w:val="0"/>
      <w:ind w:left="726" w:hanging="363"/>
    </w:pPr>
    <w:rPr>
      <w:rFonts w:ascii="宋体" w:hAnsi="Times New Roman" w:eastAsia="宋体" w:cs="Times New Roman"/>
      <w:kern w:val="0"/>
      <w:sz w:val="18"/>
      <w:szCs w:val="18"/>
    </w:rPr>
  </w:style>
  <w:style w:type="paragraph" w:customStyle="1" w:styleId="24">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
    <w:name w:val="标准书脚_奇数页"/>
    <w:qFormat/>
    <w:uiPriority w:val="0"/>
    <w:pPr>
      <w:spacing w:before="120"/>
      <w:jc w:val="right"/>
    </w:pPr>
    <w:rPr>
      <w:rFonts w:ascii="Times New Roman" w:hAnsi="Times New Roman" w:eastAsia="宋体" w:cs="Times New Roman"/>
      <w:sz w:val="18"/>
      <w:lang w:val="en-US" w:eastAsia="zh-CN" w:bidi="ar-SA"/>
    </w:rPr>
  </w:style>
  <w:style w:type="character" w:customStyle="1" w:styleId="26">
    <w:name w:val="页眉 字符"/>
    <w:link w:val="6"/>
    <w:qFormat/>
    <w:uiPriority w:val="99"/>
    <w:rPr>
      <w:rFonts w:ascii="Times New Roman" w:hAnsi="Times New Roman" w:eastAsia="宋体" w:cs="Times New Roman"/>
      <w:sz w:val="18"/>
      <w:szCs w:val="18"/>
    </w:rPr>
  </w:style>
  <w:style w:type="character" w:customStyle="1" w:styleId="27">
    <w:name w:val="页脚 字符"/>
    <w:basedOn w:val="12"/>
    <w:link w:val="5"/>
    <w:qFormat/>
    <w:uiPriority w:val="99"/>
    <w:rPr>
      <w:sz w:val="18"/>
      <w:szCs w:val="18"/>
    </w:rPr>
  </w:style>
  <w:style w:type="paragraph" w:customStyle="1" w:styleId="28">
    <w:name w:val="列表段落1"/>
    <w:basedOn w:val="1"/>
    <w:unhideWhenUsed/>
    <w:qFormat/>
    <w:uiPriority w:val="99"/>
    <w:pPr>
      <w:ind w:firstLine="420" w:firstLineChars="200"/>
    </w:pPr>
    <w:rPr>
      <w:szCs w:val="24"/>
    </w:rPr>
  </w:style>
  <w:style w:type="character" w:customStyle="1" w:styleId="29">
    <w:name w:val="未处理的提及1"/>
    <w:basedOn w:val="12"/>
    <w:unhideWhenUsed/>
    <w:qFormat/>
    <w:uiPriority w:val="99"/>
    <w:rPr>
      <w:color w:val="605E5C"/>
      <w:shd w:val="clear" w:color="auto" w:fill="E1DFDD"/>
    </w:rPr>
  </w:style>
  <w:style w:type="character" w:customStyle="1" w:styleId="30">
    <w:name w:val="批注框文本 字符"/>
    <w:basedOn w:val="12"/>
    <w:link w:val="4"/>
    <w:semiHidden/>
    <w:qFormat/>
    <w:uiPriority w:val="99"/>
    <w:rPr>
      <w:sz w:val="18"/>
      <w:szCs w:val="18"/>
    </w:rPr>
  </w:style>
  <w:style w:type="paragraph" w:customStyle="1" w:styleId="31">
    <w:name w:val="正文 + 宋体"/>
    <w:basedOn w:val="1"/>
    <w:qFormat/>
    <w:uiPriority w:val="0"/>
    <w:pPr>
      <w:spacing w:line="360" w:lineRule="auto"/>
      <w:ind w:firstLine="480" w:firstLineChars="200"/>
    </w:pPr>
    <w:rPr>
      <w:rFonts w:ascii="宋体" w:hAnsi="宋体" w:eastAsia="宋体" w:cs="Times New Roman"/>
      <w:sz w:val="24"/>
      <w:szCs w:val="24"/>
    </w:rPr>
  </w:style>
  <w:style w:type="character" w:customStyle="1" w:styleId="32">
    <w:name w:val="fontstyle01"/>
    <w:basedOn w:val="12"/>
    <w:qFormat/>
    <w:uiPriority w:val="0"/>
    <w:rPr>
      <w:rFonts w:hint="eastAsia" w:ascii="仿宋" w:hAnsi="仿宋" w:eastAsia="仿宋"/>
      <w:color w:val="000000"/>
      <w:sz w:val="30"/>
      <w:szCs w:val="30"/>
    </w:rPr>
  </w:style>
  <w:style w:type="paragraph" w:customStyle="1" w:styleId="33">
    <w:name w:val="Default"/>
    <w:qFormat/>
    <w:uiPriority w:val="0"/>
    <w:pPr>
      <w:widowControl w:val="0"/>
      <w:autoSpaceDE w:val="0"/>
      <w:autoSpaceDN w:val="0"/>
      <w:adjustRightInd w:val="0"/>
    </w:pPr>
    <w:rPr>
      <w:rFonts w:ascii="方正小标宋简体" w:hAnsi="Calibri" w:eastAsia="方正小标宋简体" w:cs="方正小标宋简体"/>
      <w:color w:val="000000"/>
      <w:sz w:val="24"/>
      <w:szCs w:val="24"/>
      <w:lang w:val="en-US" w:eastAsia="zh-CN" w:bidi="ar-SA"/>
    </w:rPr>
  </w:style>
  <w:style w:type="character" w:customStyle="1" w:styleId="34">
    <w:name w:val="未处理的提及2"/>
    <w:basedOn w:val="12"/>
    <w:unhideWhenUsed/>
    <w:qFormat/>
    <w:uiPriority w:val="99"/>
    <w:rPr>
      <w:color w:val="605E5C"/>
      <w:shd w:val="clear" w:color="auto" w:fill="E1DFDD"/>
    </w:rPr>
  </w:style>
  <w:style w:type="character" w:customStyle="1" w:styleId="35">
    <w:name w:val="段 Char"/>
    <w:basedOn w:val="12"/>
    <w:link w:val="17"/>
    <w:qFormat/>
    <w:uiPriority w:val="0"/>
    <w:rPr>
      <w:rFonts w:ascii="宋体" w:hAnsi="Times New Roman" w:eastAsia="宋体" w:cs="Times New Roman"/>
      <w:kern w:val="0"/>
      <w:szCs w:val="20"/>
    </w:rPr>
  </w:style>
  <w:style w:type="paragraph" w:customStyle="1" w:styleId="36">
    <w:name w:val="标准文件_段"/>
    <w:qFormat/>
    <w:uiPriority w:val="0"/>
    <w:pPr>
      <w:autoSpaceDE w:val="0"/>
      <w:autoSpaceDN w:val="0"/>
      <w:ind w:firstLine="200" w:firstLineChars="200"/>
      <w:jc w:val="both"/>
    </w:pPr>
    <w:rPr>
      <w:rFonts w:ascii="宋体" w:hAnsi="Times New Roman" w:eastAsiaTheme="minorEastAsia" w:cstheme="minorBidi"/>
      <w:sz w:val="21"/>
      <w:szCs w:val="22"/>
      <w:lang w:val="en-US" w:eastAsia="zh-CN" w:bidi="ar-SA"/>
    </w:rPr>
  </w:style>
  <w:style w:type="paragraph" w:customStyle="1" w:styleId="37">
    <w:name w:val="标准文件_术语条一"/>
    <w:basedOn w:val="38"/>
    <w:next w:val="36"/>
    <w:qFormat/>
    <w:uiPriority w:val="0"/>
    <w:pPr>
      <w:ind w:left="426"/>
    </w:pPr>
  </w:style>
  <w:style w:type="paragraph" w:customStyle="1" w:styleId="38">
    <w:name w:val="标准文件_一级无标题"/>
    <w:basedOn w:val="39"/>
    <w:qFormat/>
    <w:uiPriority w:val="0"/>
    <w:pPr>
      <w:spacing w:before="0" w:beforeLines="0" w:after="0" w:afterLines="0"/>
      <w:ind w:left="142"/>
      <w:outlineLvl w:val="9"/>
    </w:pPr>
    <w:rPr>
      <w:rFonts w:ascii="宋体" w:eastAsia="宋体"/>
    </w:rPr>
  </w:style>
  <w:style w:type="paragraph" w:customStyle="1" w:styleId="39">
    <w:name w:val="标准文件_一级条标题"/>
    <w:basedOn w:val="40"/>
    <w:next w:val="36"/>
    <w:qFormat/>
    <w:uiPriority w:val="0"/>
    <w:pPr>
      <w:numPr>
        <w:ilvl w:val="2"/>
      </w:numPr>
      <w:spacing w:before="50" w:beforeLines="50" w:after="50" w:afterLines="50"/>
      <w:outlineLvl w:val="1"/>
    </w:pPr>
  </w:style>
  <w:style w:type="paragraph" w:customStyle="1" w:styleId="40">
    <w:name w:val="标准文件_章标题"/>
    <w:next w:val="36"/>
    <w:qFormat/>
    <w:uiPriority w:val="0"/>
    <w:pPr>
      <w:numPr>
        <w:ilvl w:val="1"/>
        <w:numId w:val="2"/>
      </w:numPr>
      <w:spacing w:before="100" w:beforeLines="100" w:after="100" w:afterLines="100"/>
      <w:jc w:val="both"/>
      <w:outlineLvl w:val="0"/>
    </w:pPr>
    <w:rPr>
      <w:rFonts w:ascii="黑体" w:hAnsi="Times New Roman" w:eastAsia="黑体" w:cs="Times New Roman"/>
      <w:sz w:val="21"/>
      <w:szCs w:val="22"/>
      <w:lang w:val="en-US" w:eastAsia="zh-CN" w:bidi="ar-SA"/>
    </w:rPr>
  </w:style>
  <w:style w:type="paragraph" w:customStyle="1" w:styleId="41">
    <w:name w:val="标准文件_二级条标题"/>
    <w:next w:val="3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szCs w:val="22"/>
      <w:lang w:val="en-US" w:eastAsia="zh-CN" w:bidi="ar-SA"/>
    </w:rPr>
  </w:style>
  <w:style w:type="paragraph" w:customStyle="1" w:styleId="42">
    <w:name w:val="标准文件_附录标识"/>
    <w:next w:val="36"/>
    <w:qFormat/>
    <w:uiPriority w:val="0"/>
    <w:pPr>
      <w:numPr>
        <w:ilvl w:val="0"/>
        <w:numId w:val="3"/>
      </w:numPr>
      <w:shd w:val="clear" w:color="FFFFFF" w:fill="FFFFFF"/>
      <w:tabs>
        <w:tab w:val="left" w:pos="6406"/>
      </w:tabs>
      <w:spacing w:before="25" w:beforeLines="25" w:after="50" w:afterLines="50"/>
      <w:jc w:val="center"/>
      <w:outlineLvl w:val="0"/>
    </w:pPr>
    <w:rPr>
      <w:rFonts w:ascii="黑体" w:hAnsi="Times New Roman" w:eastAsia="黑体" w:cs="Times New Roman"/>
      <w:sz w:val="21"/>
      <w:szCs w:val="22"/>
      <w:lang w:val="en-US" w:eastAsia="zh-CN" w:bidi="ar-SA"/>
    </w:rPr>
  </w:style>
  <w:style w:type="paragraph" w:customStyle="1" w:styleId="43">
    <w:name w:val="附录章标题"/>
    <w:next w:val="17"/>
    <w:qFormat/>
    <w:uiPriority w:val="99"/>
    <w:pPr>
      <w:tabs>
        <w:tab w:val="left" w:pos="360"/>
      </w:tabs>
      <w:wordWrap w:val="0"/>
      <w:overflowPunct w:val="0"/>
      <w:autoSpaceDE w:val="0"/>
      <w:spacing w:before="100" w:beforeLines="100" w:after="100" w:afterLines="100"/>
      <w:ind w:left="142"/>
      <w:jc w:val="both"/>
      <w:textAlignment w:val="baseline"/>
      <w:outlineLvl w:val="1"/>
    </w:pPr>
    <w:rPr>
      <w:rFonts w:ascii="黑体" w:hAnsi="Times New Roman" w:eastAsia="黑体" w:cs="Times New Roman"/>
      <w:kern w:val="21"/>
      <w:sz w:val="21"/>
      <w:szCs w:val="22"/>
      <w:lang w:val="en-US" w:eastAsia="zh-CN" w:bidi="ar-SA"/>
    </w:rPr>
  </w:style>
  <w:style w:type="paragraph" w:customStyle="1" w:styleId="44">
    <w:name w:val="附录一级条标题"/>
    <w:basedOn w:val="43"/>
    <w:next w:val="17"/>
    <w:qFormat/>
    <w:uiPriority w:val="99"/>
    <w:pPr>
      <w:autoSpaceDN w:val="0"/>
      <w:spacing w:before="50" w:beforeLines="50" w:after="50" w:afterLines="50"/>
      <w:ind w:left="0"/>
      <w:outlineLvl w:val="2"/>
    </w:pPr>
  </w:style>
  <w:style w:type="paragraph" w:customStyle="1" w:styleId="45">
    <w:name w:val="标准文件_附录表标题"/>
    <w:next w:val="36"/>
    <w:qFormat/>
    <w:uiPriority w:val="0"/>
    <w:pPr>
      <w:numPr>
        <w:ilvl w:val="1"/>
        <w:numId w:val="4"/>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szCs w:val="22"/>
      <w:lang w:val="en-US" w:eastAsia="zh-CN" w:bidi="ar-SA"/>
    </w:rPr>
  </w:style>
  <w:style w:type="paragraph" w:customStyle="1" w:styleId="46">
    <w:name w:val="WPSOffice手动目录 1"/>
    <w:qFormat/>
    <w:uiPriority w:val="0"/>
    <w:rPr>
      <w:rFonts w:asciiTheme="minorHAnsi" w:hAnsiTheme="minorHAnsi" w:eastAsiaTheme="minorEastAsia" w:cstheme="minorBidi"/>
      <w:lang w:val="en-US" w:eastAsia="zh-CN" w:bidi="ar-SA"/>
    </w:rPr>
  </w:style>
  <w:style w:type="paragraph" w:customStyle="1" w:styleId="47">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glossaryDocument" Target="glossary/document.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1.wmf"/><Relationship Id="rId23" Type="http://schemas.openxmlformats.org/officeDocument/2006/relationships/oleObject" Target="embeddings/oleObject7.bin"/><Relationship Id="rId22" Type="http://schemas.openxmlformats.org/officeDocument/2006/relationships/oleObject" Target="embeddings/oleObject6.bin"/><Relationship Id="rId21" Type="http://schemas.openxmlformats.org/officeDocument/2006/relationships/image" Target="media/image10.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9.wmf"/><Relationship Id="rId18" Type="http://schemas.openxmlformats.org/officeDocument/2006/relationships/oleObject" Target="embeddings/oleObject4.bin"/><Relationship Id="rId17" Type="http://schemas.openxmlformats.org/officeDocument/2006/relationships/image" Target="media/image8.wmf"/><Relationship Id="rId16" Type="http://schemas.openxmlformats.org/officeDocument/2006/relationships/oleObject" Target="embeddings/oleObject3.bin"/><Relationship Id="rId15" Type="http://schemas.openxmlformats.org/officeDocument/2006/relationships/image" Target="media/image7.jpe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wmf"/><Relationship Id="rId11" Type="http://schemas.openxmlformats.org/officeDocument/2006/relationships/oleObject" Target="embeddings/oleObject2.bin"/><Relationship Id="rId10" Type="http://schemas.openxmlformats.org/officeDocument/2006/relationships/image" Target="media/image3.pn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6f72395-7899-4c74-9b10-93bd079692da}"/>
        <w:style w:val=""/>
        <w:category>
          <w:name w:val="常规"/>
          <w:gallery w:val="placeholder"/>
        </w:category>
        <w:types>
          <w:type w:val="bbPlcHdr"/>
        </w:types>
        <w:behaviors>
          <w:behavior w:val="content"/>
        </w:behaviors>
        <w:description w:val=""/>
        <w:guid w:val="{E6F72395-7899-4C74-9B10-93BD079692DA}"/>
      </w:docPartPr>
      <w:docPartBody>
        <w:p w14:paraId="4904FCA7">
          <w:pPr>
            <w:pStyle w:val="4"/>
          </w:pPr>
          <w:r>
            <w:rPr>
              <w:rStyle w:val="5"/>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E142DD"/>
    <w:rsid w:val="00172A16"/>
    <w:rsid w:val="00E14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semiHidden="0" w:name="Default Paragraph Font"/>
    <w:lsdException w:uiPriority="99" w:semiHidden="0"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unhideWhenUsed/>
    <w:uiPriority w:val="1"/>
  </w:style>
  <w:style w:type="table" w:default="1" w:styleId="3">
    <w:name w:val="Normal Table"/>
    <w:unhideWhenUsed/>
    <w:uiPriority w:val="99"/>
    <w:tblPr>
      <w:tblCellMar>
        <w:top w:w="0" w:type="dxa"/>
        <w:left w:w="108" w:type="dxa"/>
        <w:bottom w:w="0" w:type="dxa"/>
        <w:right w:w="108" w:type="dxa"/>
      </w:tblCellMar>
    </w:tblPr>
  </w:style>
  <w:style w:type="paragraph" w:customStyle="1" w:styleId="4">
    <w:name w:val="9E3CB5AD76F746E0B2D5A4118FCEB346"/>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customStyle="1" w:styleId="5">
    <w:name w:val="占位符文本1"/>
    <w:basedOn w:val="2"/>
    <w:semiHidden/>
    <w:qFormat/>
    <w:uiPriority w:val="99"/>
    <w:rPr>
      <w:color w:val="808080"/>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5388</Words>
  <Characters>6666</Characters>
  <Lines>78</Lines>
  <Paragraphs>21</Paragraphs>
  <TotalTime>0</TotalTime>
  <ScaleCrop>false</ScaleCrop>
  <LinksUpToDate>false</LinksUpToDate>
  <CharactersWithSpaces>7342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2019-08-07T02:38:00Z</dcterms:created>
  <dc:creator>fengxue</dc:creator>
  <cp:lastModifiedBy>学会秘书处</cp:lastModifiedBy>
  <cp:lastPrinted>2019-09-11T03:12:00Z</cp:lastPrinted>
  <dcterms:modified xsi:type="dcterms:W3CDTF">2025-01-09T01:54:55Z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0AD64BBF0FCE4B748B90D286CC4FB974_13</vt:lpwstr>
  </property>
</Properties>
</file>